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FE7A" w14:textId="77777777" w:rsidR="00E354A0" w:rsidRPr="009E486A" w:rsidRDefault="00DB1BB5" w:rsidP="00DE0128">
      <w:pPr>
        <w:spacing w:after="120"/>
        <w:jc w:val="center"/>
        <w:rPr>
          <w:rFonts w:asciiTheme="minorHAnsi" w:hAnsiTheme="minorHAnsi"/>
        </w:rPr>
      </w:pPr>
      <w:r w:rsidRPr="009E486A">
        <w:rPr>
          <w:rFonts w:asciiTheme="minorHAnsi" w:hAnsiTheme="minorHAnsi" w:cs="Times New Roman"/>
          <w:b/>
          <w:sz w:val="40"/>
          <w:szCs w:val="40"/>
          <w:u w:val="single"/>
        </w:rPr>
        <w:t>Conseil communal du 30 juin 2026</w:t>
      </w:r>
    </w:p>
    <w:p w14:paraId="73265054" w14:textId="77777777" w:rsidR="00E354A0" w:rsidRPr="009E486A" w:rsidRDefault="00DB1BB5" w:rsidP="00DE0128">
      <w:pPr>
        <w:spacing w:after="120"/>
        <w:jc w:val="center"/>
        <w:rPr>
          <w:rFonts w:asciiTheme="minorHAnsi" w:hAnsiTheme="minorHAnsi" w:cs="Times New Roman"/>
          <w:b/>
          <w:sz w:val="40"/>
          <w:szCs w:val="40"/>
          <w:u w:val="single"/>
        </w:rPr>
      </w:pPr>
      <w:r w:rsidRPr="009E486A">
        <w:rPr>
          <w:rFonts w:asciiTheme="minorHAnsi" w:hAnsiTheme="minorHAnsi" w:cs="Times New Roman"/>
          <w:b/>
          <w:sz w:val="40"/>
          <w:szCs w:val="40"/>
          <w:u w:val="single"/>
        </w:rPr>
        <w:t>NOTE DE SYNTHESE</w:t>
      </w:r>
    </w:p>
    <w:p w14:paraId="1FE4A7B2" w14:textId="77777777" w:rsidR="00E354A0" w:rsidRPr="009E486A" w:rsidRDefault="00E354A0" w:rsidP="00DE0128">
      <w:pPr>
        <w:pStyle w:val="Textepardfaut"/>
        <w:spacing w:after="120"/>
        <w:jc w:val="both"/>
        <w:rPr>
          <w:rFonts w:asciiTheme="minorHAnsi" w:hAnsiTheme="minorHAnsi"/>
          <w:b/>
          <w:sz w:val="40"/>
          <w:szCs w:val="24"/>
          <w:u w:val="single"/>
        </w:rPr>
      </w:pPr>
    </w:p>
    <w:p w14:paraId="220210D6" w14:textId="77777777" w:rsidR="00E354A0" w:rsidRPr="009E486A" w:rsidRDefault="00E354A0" w:rsidP="00DE0128">
      <w:pPr>
        <w:tabs>
          <w:tab w:val="left" w:pos="432"/>
        </w:tabs>
        <w:spacing w:after="120"/>
        <w:rPr>
          <w:rFonts w:asciiTheme="minorHAnsi" w:hAnsiTheme="minorHAnsi"/>
          <w:b/>
          <w:lang w:eastAsia="fr-BE"/>
        </w:rPr>
      </w:pPr>
    </w:p>
    <w:p w14:paraId="444CABEC" w14:textId="77777777" w:rsidR="00E354A0" w:rsidRPr="009E486A" w:rsidRDefault="00DB1BB5" w:rsidP="00DE0128">
      <w:pPr>
        <w:tabs>
          <w:tab w:val="left" w:pos="1575"/>
        </w:tabs>
        <w:spacing w:after="120"/>
        <w:jc w:val="both"/>
        <w:rPr>
          <w:rFonts w:asciiTheme="minorHAnsi" w:eastAsia="Arial Unicode MS" w:hAnsiTheme="minorHAnsi" w:cs="Arial Unicode MS"/>
          <w:b/>
          <w:u w:val="single"/>
        </w:rPr>
      </w:pPr>
      <w:r w:rsidRPr="009E486A">
        <w:rPr>
          <w:rFonts w:asciiTheme="minorHAnsi" w:eastAsia="Arial Unicode MS" w:hAnsiTheme="minorHAnsi" w:cs="Arial Unicode MS"/>
          <w:b/>
          <w:u w:val="single"/>
        </w:rPr>
        <w:t>Séance publique</w:t>
      </w:r>
    </w:p>
    <w:p w14:paraId="4C6C4FD4" w14:textId="51943B82"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Patrimoine — Petit Patrimoine Wallon — Recensement — Décision — Vote</w:t>
      </w:r>
    </w:p>
    <w:p w14:paraId="3B8F1C24"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73BA5A4D" w14:textId="129A3518" w:rsidR="00381E58" w:rsidRPr="009E486A" w:rsidRDefault="00381E58"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3AE07FD1" w14:textId="20AC5D2E"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27EADBA4" w14:textId="5E0A0D13" w:rsidR="007B782C" w:rsidRPr="009E486A" w:rsidRDefault="007B782C" w:rsidP="00DE0128">
      <w:pPr>
        <w:tabs>
          <w:tab w:val="left" w:pos="2142"/>
        </w:tabs>
        <w:spacing w:before="119" w:after="120"/>
        <w:jc w:val="both"/>
        <w:rPr>
          <w:rFonts w:asciiTheme="minorHAnsi" w:hAnsiTheme="minorHAnsi"/>
        </w:rPr>
      </w:pPr>
      <w:r w:rsidRPr="009E486A">
        <w:rPr>
          <w:rFonts w:asciiTheme="minorHAnsi" w:hAnsiTheme="minorHAnsi" w:cs="Arial"/>
          <w:sz w:val="22"/>
          <w:szCs w:val="22"/>
        </w:rPr>
        <w:t>L’approbation d</w:t>
      </w:r>
      <w:r w:rsidRPr="009E486A">
        <w:rPr>
          <w:rFonts w:asciiTheme="minorHAnsi" w:hAnsiTheme="minorHAnsi"/>
        </w:rPr>
        <w:t>u</w:t>
      </w:r>
      <w:r w:rsidRPr="009E486A">
        <w:rPr>
          <w:rFonts w:asciiTheme="minorHAnsi" w:hAnsiTheme="minorHAnsi" w:cs="Arial"/>
          <w:color w:val="000000"/>
          <w:sz w:val="22"/>
          <w:szCs w:val="22"/>
          <w:shd w:val="clear" w:color="auto" w:fill="FFFFFF"/>
        </w:rPr>
        <w:t xml:space="preserve"> travail de recensement du petit patrimoine populaire wallon de Lobbes. </w:t>
      </w:r>
    </w:p>
    <w:p w14:paraId="2437FAB8" w14:textId="77777777" w:rsidR="007B782C" w:rsidRPr="009E486A" w:rsidRDefault="007B782C" w:rsidP="00DE0128">
      <w:pPr>
        <w:tabs>
          <w:tab w:val="left" w:pos="2142"/>
        </w:tabs>
        <w:spacing w:before="119" w:after="120"/>
        <w:jc w:val="both"/>
        <w:rPr>
          <w:rFonts w:asciiTheme="minorHAnsi" w:hAnsiTheme="minorHAnsi"/>
          <w:u w:val="single"/>
        </w:rPr>
      </w:pPr>
    </w:p>
    <w:p w14:paraId="723F62B6" w14:textId="4F786381"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Services Affaires générales — Rapport annuel de rémunération — Année 2026 — Exercice 2025 — Approbation — Vote</w:t>
      </w:r>
    </w:p>
    <w:p w14:paraId="60EFBD91"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623B10FA" w14:textId="56B42C27"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Les décrets du 29 mars 2018 modifiant le Code de la démocratie locale et de la décentralisation (CDLD) en vue de renforcer la gouvernance et la transparence dans l’exécution des mandats publics au sein des structures locales et supra-locales et de leurs filiales.</w:t>
      </w:r>
    </w:p>
    <w:p w14:paraId="0F073E09" w14:textId="1203EEC6"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circulaire du 18 avril 2018 de mise en application des décrets du 29 mars 2018 modifiant le Code de la démocratie locale et de la décentralisation (CDLD) ainsi que la loi organique des centres publics d’action sociale du 8 juillet 1976 en vue de renforcer la gouvernance et la transparence dans l’exécution des mandats publics au sein des structures locales et supra-locales et de leurs filiales.</w:t>
      </w:r>
    </w:p>
    <w:p w14:paraId="23E3925F" w14:textId="6269124F"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tel que modifié, plus particulièrement son article L6421-1 §1</w:t>
      </w:r>
      <w:r w:rsidRPr="009E486A">
        <w:rPr>
          <w:rFonts w:asciiTheme="minorHAnsi" w:hAnsiTheme="minorHAnsi" w:cs="Arial"/>
          <w:color w:val="000000"/>
          <w:sz w:val="22"/>
          <w:szCs w:val="22"/>
          <w:vertAlign w:val="superscript"/>
        </w:rPr>
        <w:t>er</w:t>
      </w:r>
      <w:r w:rsidRPr="009E486A">
        <w:rPr>
          <w:rFonts w:asciiTheme="minorHAnsi" w:hAnsiTheme="minorHAnsi" w:cs="Arial"/>
          <w:color w:val="000000"/>
          <w:sz w:val="22"/>
          <w:szCs w:val="22"/>
        </w:rPr>
        <w:t>.</w:t>
      </w:r>
    </w:p>
    <w:p w14:paraId="65162E5E" w14:textId="15799D38"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shd w:val="clear" w:color="auto" w:fill="FFFFFF"/>
        </w:rPr>
        <w:t>La circulaire du SPW Intérieur du 26 mars 2026 relative au rapport de rémunération 2026- exercice 2025.</w:t>
      </w:r>
    </w:p>
    <w:p w14:paraId="4279DA50"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5B18104C" w14:textId="4C234231" w:rsidR="00434B39" w:rsidRPr="009E486A" w:rsidRDefault="00434B39" w:rsidP="00DE0128">
      <w:pPr>
        <w:tabs>
          <w:tab w:val="left" w:pos="2142"/>
        </w:tabs>
        <w:spacing w:before="119" w:after="120"/>
        <w:jc w:val="both"/>
        <w:rPr>
          <w:rFonts w:asciiTheme="minorHAnsi" w:hAnsiTheme="minorHAnsi" w:cs="Arial"/>
          <w:sz w:val="22"/>
          <w:szCs w:val="22"/>
        </w:rPr>
      </w:pPr>
      <w:r w:rsidRPr="009E486A">
        <w:rPr>
          <w:rFonts w:asciiTheme="minorHAnsi" w:hAnsiTheme="minorHAnsi" w:cs="Arial"/>
          <w:sz w:val="22"/>
          <w:szCs w:val="22"/>
        </w:rPr>
        <w:t>Approbation du</w:t>
      </w:r>
      <w:r w:rsidRPr="009E486A">
        <w:rPr>
          <w:rFonts w:asciiTheme="minorHAnsi" w:hAnsiTheme="minorHAnsi" w:cs="Arial"/>
          <w:color w:val="000000"/>
          <w:sz w:val="22"/>
          <w:szCs w:val="22"/>
          <w:shd w:val="clear" w:color="auto" w:fill="FFFFFF"/>
        </w:rPr>
        <w:t xml:space="preserve"> rapport annuel de rémunérations 2026 reprenant, pour l’année 2025, le relevé individuel et nominatif des jetons, rémunérations ainsi que des avantages en nature perçus par les mandataires, les personnes non élues et les titulaires de la fonction dirigeante locale.</w:t>
      </w:r>
    </w:p>
    <w:p w14:paraId="21262579" w14:textId="77777777" w:rsidR="00381E58" w:rsidRPr="009E486A" w:rsidRDefault="00381E58" w:rsidP="00DE0128">
      <w:pPr>
        <w:tabs>
          <w:tab w:val="left" w:pos="2142"/>
        </w:tabs>
        <w:spacing w:before="119" w:after="120"/>
        <w:jc w:val="both"/>
        <w:rPr>
          <w:rFonts w:asciiTheme="minorHAnsi" w:hAnsiTheme="minorHAnsi"/>
          <w:b/>
          <w:bCs/>
        </w:rPr>
      </w:pPr>
    </w:p>
    <w:p w14:paraId="04BAD323" w14:textId="6586B82D"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 xml:space="preserve">Service Finances — Comptes de l'exercice 2025 — Décision — Vote </w:t>
      </w:r>
    </w:p>
    <w:p w14:paraId="7F2A28D0"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5C0319AD" w14:textId="6DA5D860"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Constitution, les articles 41 et 162.</w:t>
      </w:r>
    </w:p>
    <w:p w14:paraId="7DFCFBC1" w14:textId="72BCBC0B"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notamment les articles L1122-23, L1122-26 et L1122-30 et Première partie, livre III.</w:t>
      </w:r>
    </w:p>
    <w:p w14:paraId="6D5314B8" w14:textId="0B9D57F9"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L’Arrêté du Gouvernement wallon du 5 juillet 2007 portant le Règlement général de la Comptabilité communale, en exécution de l’article L1315-1 du Code de la Démocratie Locale et de la Décentralisation.</w:t>
      </w:r>
    </w:p>
    <w:p w14:paraId="274ECF8E" w14:textId="46E87451" w:rsidR="00434B39" w:rsidRPr="009E486A" w:rsidRDefault="00434B3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circulaire du 21 janvier 2019 relative aux pièces justificatives.</w:t>
      </w:r>
    </w:p>
    <w:p w14:paraId="4F2FE0CF"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lastRenderedPageBreak/>
        <w:t>Motivation :</w:t>
      </w:r>
    </w:p>
    <w:p w14:paraId="39823A0C" w14:textId="67BE6053" w:rsidR="00434B39" w:rsidRPr="009E486A" w:rsidRDefault="00434B39"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L’arrêt des comptes de l’exercice 2025 comme suit :</w:t>
      </w:r>
    </w:p>
    <w:p w14:paraId="2B47EECA" w14:textId="0D8244E5"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le bilan : </w:t>
      </w:r>
    </w:p>
    <w:tbl>
      <w:tblPr>
        <w:tblW w:w="6375" w:type="dxa"/>
        <w:shd w:val="clear" w:color="auto" w:fill="FFFFFF"/>
        <w:tblCellMar>
          <w:left w:w="0" w:type="dxa"/>
          <w:right w:w="0" w:type="dxa"/>
        </w:tblCellMar>
        <w:tblLook w:val="04A0" w:firstRow="1" w:lastRow="0" w:firstColumn="1" w:lastColumn="0" w:noHBand="0" w:noVBand="1"/>
      </w:tblPr>
      <w:tblGrid>
        <w:gridCol w:w="3061"/>
        <w:gridCol w:w="3314"/>
      </w:tblGrid>
      <w:tr w:rsidR="00434B39" w:rsidRPr="009E486A" w14:paraId="09DC345A" w14:textId="77777777">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vAlign w:val="center"/>
            <w:hideMark/>
          </w:tcPr>
          <w:p w14:paraId="01A09779" w14:textId="77777777" w:rsidR="00434B39" w:rsidRPr="009E486A" w:rsidRDefault="00434B39"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ACTIF</w:t>
            </w:r>
          </w:p>
        </w:tc>
        <w:tc>
          <w:tcPr>
            <w:tcW w:w="3135"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8DFB981" w14:textId="77777777" w:rsidR="00434B39" w:rsidRPr="009E486A" w:rsidRDefault="00434B39"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PASSIF</w:t>
            </w:r>
          </w:p>
        </w:tc>
      </w:tr>
      <w:tr w:rsidR="00434B39" w:rsidRPr="009E486A" w14:paraId="4D8E4C39" w14:textId="77777777">
        <w:tc>
          <w:tcPr>
            <w:tcW w:w="289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5FD11F4C" w14:textId="77777777" w:rsidR="00434B39" w:rsidRPr="009E486A" w:rsidRDefault="00434B39"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31 344 707,33</w:t>
            </w:r>
          </w:p>
        </w:tc>
        <w:tc>
          <w:tcPr>
            <w:tcW w:w="313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74AA8A73" w14:textId="77777777" w:rsidR="00434B39" w:rsidRPr="009E486A" w:rsidRDefault="00434B39"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31 344 707,33</w:t>
            </w:r>
          </w:p>
        </w:tc>
      </w:tr>
    </w:tbl>
    <w:p w14:paraId="670EF6A7" w14:textId="77777777" w:rsidR="00434B39" w:rsidRPr="009E486A" w:rsidRDefault="00434B39"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p w14:paraId="1C28BD3B" w14:textId="5999B884"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 le compte de résultats :            </w:t>
      </w:r>
    </w:p>
    <w:tbl>
      <w:tblPr>
        <w:tblW w:w="14805" w:type="dxa"/>
        <w:shd w:val="clear" w:color="auto" w:fill="FFFFFF"/>
        <w:tblCellMar>
          <w:left w:w="0" w:type="dxa"/>
          <w:right w:w="0" w:type="dxa"/>
        </w:tblCellMar>
        <w:tblLook w:val="04A0" w:firstRow="1" w:lastRow="0" w:firstColumn="1" w:lastColumn="0" w:noHBand="0" w:noVBand="1"/>
      </w:tblPr>
      <w:tblGrid>
        <w:gridCol w:w="3115"/>
        <w:gridCol w:w="3099"/>
        <w:gridCol w:w="2958"/>
        <w:gridCol w:w="5633"/>
      </w:tblGrid>
      <w:tr w:rsidR="00434B39" w:rsidRPr="009E486A" w14:paraId="6D41430A" w14:textId="77777777">
        <w:tc>
          <w:tcPr>
            <w:tcW w:w="297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vAlign w:val="center"/>
            <w:hideMark/>
          </w:tcPr>
          <w:p w14:paraId="61F04391"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Compte de résultats</w:t>
            </w:r>
          </w:p>
        </w:tc>
        <w:tc>
          <w:tcPr>
            <w:tcW w:w="2955"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95D0849"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Charges : C</w:t>
            </w:r>
          </w:p>
        </w:tc>
        <w:tc>
          <w:tcPr>
            <w:tcW w:w="2820"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6113C6F6"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Produits : P</w:t>
            </w:r>
          </w:p>
        </w:tc>
        <w:tc>
          <w:tcPr>
            <w:tcW w:w="5370"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4EC4C187"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 P-C</w:t>
            </w:r>
          </w:p>
        </w:tc>
      </w:tr>
      <w:tr w:rsidR="00434B39" w:rsidRPr="009E486A" w14:paraId="6201AEE6" w14:textId="77777777">
        <w:tc>
          <w:tcPr>
            <w:tcW w:w="2970"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7BB5BF28"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courant</w:t>
            </w:r>
          </w:p>
        </w:tc>
        <w:tc>
          <w:tcPr>
            <w:tcW w:w="295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6734A5C"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7 947 078,73</w:t>
            </w:r>
          </w:p>
        </w:tc>
        <w:tc>
          <w:tcPr>
            <w:tcW w:w="282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FF86366"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8 124 152,25</w:t>
            </w:r>
          </w:p>
        </w:tc>
        <w:tc>
          <w:tcPr>
            <w:tcW w:w="537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4709E778"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177 073,52</w:t>
            </w:r>
          </w:p>
        </w:tc>
      </w:tr>
      <w:tr w:rsidR="00434B39" w:rsidRPr="009E486A" w14:paraId="1D8BE18D" w14:textId="77777777">
        <w:tc>
          <w:tcPr>
            <w:tcW w:w="2970"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759F9241"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d’exploitation (1)</w:t>
            </w:r>
          </w:p>
        </w:tc>
        <w:tc>
          <w:tcPr>
            <w:tcW w:w="295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5BACC9D"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8 943 829,79</w:t>
            </w:r>
          </w:p>
        </w:tc>
        <w:tc>
          <w:tcPr>
            <w:tcW w:w="282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6A486665"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8 829 124,01</w:t>
            </w:r>
          </w:p>
        </w:tc>
        <w:tc>
          <w:tcPr>
            <w:tcW w:w="537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768D15D7"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-114 705,78</w:t>
            </w:r>
          </w:p>
        </w:tc>
      </w:tr>
      <w:tr w:rsidR="00434B39" w:rsidRPr="009E486A" w14:paraId="50ADBE38" w14:textId="77777777">
        <w:tc>
          <w:tcPr>
            <w:tcW w:w="2970"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1A58AF39"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exceptionnel (2)</w:t>
            </w:r>
          </w:p>
        </w:tc>
        <w:tc>
          <w:tcPr>
            <w:tcW w:w="295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746DEBE"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678 680,40</w:t>
            </w:r>
          </w:p>
        </w:tc>
        <w:tc>
          <w:tcPr>
            <w:tcW w:w="282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4DC1256"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732 670,15</w:t>
            </w:r>
          </w:p>
        </w:tc>
        <w:tc>
          <w:tcPr>
            <w:tcW w:w="537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19B85BFD"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53 989,75</w:t>
            </w:r>
          </w:p>
        </w:tc>
      </w:tr>
      <w:tr w:rsidR="00434B39" w:rsidRPr="009E486A" w14:paraId="361F3422" w14:textId="77777777">
        <w:tc>
          <w:tcPr>
            <w:tcW w:w="2970"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346744DC"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de l’exercice (1+2)</w:t>
            </w:r>
          </w:p>
        </w:tc>
        <w:tc>
          <w:tcPr>
            <w:tcW w:w="295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78C96F94"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9 622 510,19</w:t>
            </w:r>
          </w:p>
        </w:tc>
        <w:tc>
          <w:tcPr>
            <w:tcW w:w="282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62CA81CA"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9 561 794,16</w:t>
            </w:r>
          </w:p>
        </w:tc>
        <w:tc>
          <w:tcPr>
            <w:tcW w:w="5370"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DE21A7F"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-60 716,03</w:t>
            </w:r>
          </w:p>
        </w:tc>
      </w:tr>
    </w:tbl>
    <w:p w14:paraId="55EBE80D" w14:textId="45F5F4B9" w:rsidR="00434B39" w:rsidRPr="009E486A" w:rsidRDefault="00434B39" w:rsidP="00DE0128">
      <w:pPr>
        <w:shd w:val="clear" w:color="auto" w:fill="FFFFFF"/>
        <w:suppressAutoHyphens w:val="0"/>
        <w:spacing w:after="120"/>
        <w:ind w:firstLine="834"/>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le compte budgétaire de l'exercice 2025 qui se présente comme suit :</w:t>
      </w:r>
    </w:p>
    <w:tbl>
      <w:tblPr>
        <w:tblW w:w="12647" w:type="dxa"/>
        <w:shd w:val="clear" w:color="auto" w:fill="FFFFFF"/>
        <w:tblCellMar>
          <w:left w:w="0" w:type="dxa"/>
          <w:right w:w="0" w:type="dxa"/>
        </w:tblCellMar>
        <w:tblLook w:val="04A0" w:firstRow="1" w:lastRow="0" w:firstColumn="1" w:lastColumn="0" w:noHBand="0" w:noVBand="1"/>
      </w:tblPr>
      <w:tblGrid>
        <w:gridCol w:w="2955"/>
        <w:gridCol w:w="3183"/>
        <w:gridCol w:w="6509"/>
      </w:tblGrid>
      <w:tr w:rsidR="00434B39" w:rsidRPr="009E486A" w14:paraId="72EADBF1" w14:textId="77777777">
        <w:tc>
          <w:tcPr>
            <w:tcW w:w="334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vAlign w:val="center"/>
            <w:hideMark/>
          </w:tcPr>
          <w:p w14:paraId="56321815"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3645"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AD2C3E8"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Ordinaire</w:t>
            </w:r>
          </w:p>
        </w:tc>
        <w:tc>
          <w:tcPr>
            <w:tcW w:w="7605" w:type="dxa"/>
            <w:tcBorders>
              <w:top w:val="single" w:sz="6" w:space="0" w:color="auto"/>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62B272CC"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Extraordinaire</w:t>
            </w:r>
          </w:p>
        </w:tc>
      </w:tr>
      <w:tr w:rsidR="00434B39" w:rsidRPr="009E486A" w14:paraId="5CD1E062"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3704929B"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Droits constatés (1)</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45790712"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11 796 871,88</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4F11114F"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3 633 944,33</w:t>
            </w:r>
          </w:p>
        </w:tc>
      </w:tr>
      <w:tr w:rsidR="00434B39" w:rsidRPr="009E486A" w14:paraId="39EF8A42"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7A9A03E3"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Non-valeurs (2)</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01941813"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31 490,90</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296C4714" w14:textId="72BF85F5"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xml:space="preserve">                                            0,00</w:t>
            </w:r>
          </w:p>
        </w:tc>
      </w:tr>
      <w:tr w:rsidR="00434B39" w:rsidRPr="009E486A" w14:paraId="73833381"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3597C99A"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Engagements (3)</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1B1DDCFC"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8 846 804,96</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63B36053" w14:textId="25685BCB"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172 620,79</w:t>
            </w:r>
          </w:p>
        </w:tc>
      </w:tr>
      <w:tr w:rsidR="00434B39" w:rsidRPr="009E486A" w14:paraId="7B200AD1"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0B5BD686"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Imputations (4)</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D41937E"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8 551 336,26</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37C4272F"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3 742 990,20</w:t>
            </w:r>
          </w:p>
        </w:tc>
      </w:tr>
      <w:tr w:rsidR="00434B39" w:rsidRPr="009E486A" w14:paraId="07FC116E"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174BDE7A"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budgétaire (1-2-3)</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4A2AD2F"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+2 918 576,02</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7FDACD1F"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-2 538 676,46</w:t>
            </w:r>
          </w:p>
        </w:tc>
      </w:tr>
      <w:tr w:rsidR="00434B39" w:rsidRPr="009E486A" w14:paraId="49C4FCD9" w14:textId="77777777">
        <w:tc>
          <w:tcPr>
            <w:tcW w:w="3345" w:type="dxa"/>
            <w:tcBorders>
              <w:top w:val="nil"/>
              <w:left w:val="single" w:sz="6" w:space="0" w:color="auto"/>
              <w:bottom w:val="single" w:sz="6" w:space="0" w:color="auto"/>
              <w:right w:val="single" w:sz="6" w:space="0" w:color="auto"/>
            </w:tcBorders>
            <w:shd w:val="clear" w:color="auto" w:fill="FFFFFF"/>
            <w:tcMar>
              <w:top w:w="72" w:type="dxa"/>
              <w:left w:w="72" w:type="dxa"/>
              <w:bottom w:w="72" w:type="dxa"/>
              <w:right w:w="72" w:type="dxa"/>
            </w:tcMar>
            <w:vAlign w:val="center"/>
            <w:hideMark/>
          </w:tcPr>
          <w:p w14:paraId="6C35637A"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comptable (1-2-4)</w:t>
            </w:r>
          </w:p>
        </w:tc>
        <w:tc>
          <w:tcPr>
            <w:tcW w:w="364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7363A34"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+3 214 044,72</w:t>
            </w:r>
          </w:p>
        </w:tc>
        <w:tc>
          <w:tcPr>
            <w:tcW w:w="7605" w:type="dxa"/>
            <w:tcBorders>
              <w:top w:val="nil"/>
              <w:left w:val="nil"/>
              <w:bottom w:val="single" w:sz="6" w:space="0" w:color="auto"/>
              <w:right w:val="single" w:sz="6" w:space="0" w:color="auto"/>
            </w:tcBorders>
            <w:shd w:val="clear" w:color="auto" w:fill="FFFFFF"/>
            <w:tcMar>
              <w:top w:w="72" w:type="dxa"/>
              <w:left w:w="72" w:type="dxa"/>
              <w:bottom w:w="72" w:type="dxa"/>
              <w:right w:w="72" w:type="dxa"/>
            </w:tcMar>
            <w:vAlign w:val="center"/>
            <w:hideMark/>
          </w:tcPr>
          <w:p w14:paraId="5663B288" w14:textId="77777777" w:rsidR="00434B39" w:rsidRPr="009E486A" w:rsidRDefault="00434B39" w:rsidP="00DE0128">
            <w:pPr>
              <w:suppressAutoHyphens w:val="0"/>
              <w:spacing w:after="120"/>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-109 045,87 </w:t>
            </w:r>
          </w:p>
        </w:tc>
      </w:tr>
    </w:tbl>
    <w:p w14:paraId="145159E7" w14:textId="01662068"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 le relevé des non-valeurs et irrécouvrables au montant de :</w:t>
      </w:r>
    </w:p>
    <w:p w14:paraId="0FF29DB5" w14:textId="77777777"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31 490,90 EUR pour les non-valeurs sur droits (diminution de recettes) ;</w:t>
      </w:r>
    </w:p>
    <w:p w14:paraId="6998D15D" w14:textId="77777777"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35 561,75 EUR pour les non-valeurs traitées en dépenses (sans décaissement) ;</w:t>
      </w:r>
    </w:p>
    <w:p w14:paraId="26A4C7DC" w14:textId="77777777" w:rsidR="00434B39" w:rsidRPr="009E486A" w:rsidRDefault="00434B39" w:rsidP="00DE0128">
      <w:pPr>
        <w:shd w:val="clear" w:color="auto" w:fill="FFFFFF"/>
        <w:suppressAutoHyphens w:val="0"/>
        <w:spacing w:after="120"/>
        <w:ind w:firstLine="834"/>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62 528,79 EUR pour les non-valeurs traitées en dépenses (avec décaissement) ;</w:t>
      </w:r>
    </w:p>
    <w:p w14:paraId="6F77E485" w14:textId="77777777" w:rsidR="00381E58" w:rsidRPr="009E486A" w:rsidRDefault="00381E58" w:rsidP="00DE0128">
      <w:pPr>
        <w:tabs>
          <w:tab w:val="left" w:pos="2142"/>
        </w:tabs>
        <w:spacing w:before="119" w:after="120"/>
        <w:jc w:val="both"/>
        <w:rPr>
          <w:rFonts w:asciiTheme="minorHAnsi" w:hAnsiTheme="minorHAnsi"/>
          <w:b/>
          <w:bCs/>
          <w:lang w:val="fr-FR"/>
        </w:rPr>
      </w:pPr>
    </w:p>
    <w:p w14:paraId="0E42924D" w14:textId="55CAB132"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Finances — C.P.A.S. — Comptes annuels de l’exercice 2025 — Approbation — Vote</w:t>
      </w:r>
    </w:p>
    <w:p w14:paraId="32C4441B"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52972828" w14:textId="136E2894" w:rsidR="00090B6C" w:rsidRPr="009E486A" w:rsidRDefault="00381E58"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w:t>
      </w:r>
      <w:r w:rsidR="00090B6C" w:rsidRPr="009E486A">
        <w:rPr>
          <w:rFonts w:asciiTheme="minorHAnsi" w:hAnsiTheme="minorHAnsi" w:cs="Arial"/>
          <w:color w:val="000000"/>
          <w:sz w:val="22"/>
          <w:szCs w:val="22"/>
          <w:shd w:val="clear" w:color="auto" w:fill="FFFFFF"/>
        </w:rPr>
        <w:t>n.</w:t>
      </w:r>
    </w:p>
    <w:p w14:paraId="0BEC5C07" w14:textId="0AE81DCD"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organique du 8 juillet 1976 des Centres Publics d’Action Sociale, telle que modifiée.</w:t>
      </w:r>
    </w:p>
    <w:p w14:paraId="059335B0" w14:textId="59C718BA"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du 8 décembre 2005 modifiant la Loi organique du 8 juillet 1976 des Centres Publics d’Action Sociale.</w:t>
      </w:r>
    </w:p>
    <w:p w14:paraId="7B7F5CCD" w14:textId="14B697A0"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lastRenderedPageBreak/>
        <w:t>L’Arrêté ministériel du 12 janvier 2006 modifiant l’Arrêté ministériel du 23 mai 1997 fixant la classification fonctionnelle et économique, la classification des comptes généraux et particuliers, les documents comptables.      </w:t>
      </w:r>
    </w:p>
    <w:p w14:paraId="601829B2" w14:textId="269DA8A9"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L’Arrêté du Gouvernement wallon du 17 janvier 2008 adaptant le règlement général de la comptabilité aux CPAS.</w:t>
      </w:r>
    </w:p>
    <w:p w14:paraId="1A046A02" w14:textId="2BDDE43F"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du 23 janvier 2014 modifiant certaines dispositions de la Loi organique des CPAS du 8 juillet 1976.</w:t>
      </w:r>
    </w:p>
    <w:p w14:paraId="6D1C25F0" w14:textId="161CDEC0" w:rsidR="00381E58" w:rsidRPr="009E486A" w:rsidRDefault="00090B6C" w:rsidP="00DE0128">
      <w:pPr>
        <w:tabs>
          <w:tab w:val="left" w:pos="2142"/>
        </w:tabs>
        <w:spacing w:before="119" w:after="120"/>
        <w:jc w:val="both"/>
        <w:rPr>
          <w:rFonts w:asciiTheme="minorHAnsi" w:hAnsiTheme="minorHAnsi"/>
          <w:u w:val="single"/>
          <w:lang w:val="fr-FR"/>
        </w:rPr>
      </w:pPr>
      <w:r w:rsidRPr="009E486A">
        <w:rPr>
          <w:rFonts w:asciiTheme="minorHAnsi" w:hAnsiTheme="minorHAnsi" w:cs="Arial"/>
          <w:color w:val="000000"/>
          <w:sz w:val="22"/>
          <w:szCs w:val="22"/>
          <w:shd w:val="clear" w:color="auto" w:fill="FFFFFF"/>
        </w:rPr>
        <w:t>La circulaire du 21 janvier 2019 relative aux pièces justificatives.</w:t>
      </w:r>
    </w:p>
    <w:p w14:paraId="6BE8664A"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64FE0D39" w14:textId="3604B03A" w:rsidR="00090B6C" w:rsidRPr="009E486A" w:rsidRDefault="00090B6C"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L’approbation des comptes annuels de l’exercice 2025 du C.P.A.S. de Lobbes comme suit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04"/>
        <w:gridCol w:w="1638"/>
        <w:gridCol w:w="1958"/>
      </w:tblGrid>
      <w:tr w:rsidR="00090B6C" w:rsidRPr="009E486A" w14:paraId="343FB87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F57186F"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B512D32"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Résultat budgétaire</w:t>
            </w:r>
          </w:p>
        </w:tc>
      </w:tr>
      <w:tr w:rsidR="00090B6C" w:rsidRPr="009E486A" w14:paraId="765514D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B944835"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2A2DBB7"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S. Ordinaire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CD3D9BD"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S. Extraordinaire</w:t>
            </w:r>
          </w:p>
        </w:tc>
      </w:tr>
      <w:tr w:rsidR="00090B6C" w:rsidRPr="009E486A" w14:paraId="0D6E1567"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90CFBCE"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Droits constatés nets de l'exercice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224F22A"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3 173 847,36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E6B176B"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187 433,58</w:t>
            </w:r>
          </w:p>
        </w:tc>
      </w:tr>
      <w:tr w:rsidR="00090B6C" w:rsidRPr="009E486A" w14:paraId="25E44DC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337C65E"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Engagements de l'exercice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DC1D599"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-3 157 737,01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02C1311"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-108 988,40</w:t>
            </w:r>
          </w:p>
        </w:tc>
      </w:tr>
      <w:tr w:rsidR="00090B6C" w:rsidRPr="009E486A" w14:paraId="2F7C34C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28822D5"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budgétaire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BAD1BEB"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16 110,35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B14FEB5"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78 445,18</w:t>
            </w:r>
          </w:p>
        </w:tc>
      </w:tr>
    </w:tbl>
    <w:p w14:paraId="4B028E83" w14:textId="77777777" w:rsidR="00090B6C" w:rsidRPr="009E486A" w:rsidRDefault="00090B6C"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48"/>
        <w:gridCol w:w="2106"/>
        <w:gridCol w:w="1746"/>
      </w:tblGrid>
      <w:tr w:rsidR="00090B6C" w:rsidRPr="009E486A" w14:paraId="26E13CA8" w14:textId="77777777">
        <w:tc>
          <w:tcPr>
            <w:tcW w:w="376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C2222F6"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3420"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4A41C60"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Résultat comptable</w:t>
            </w:r>
          </w:p>
        </w:tc>
      </w:tr>
      <w:tr w:rsidR="00090B6C" w:rsidRPr="009E486A" w14:paraId="706DC021" w14:textId="77777777">
        <w:tc>
          <w:tcPr>
            <w:tcW w:w="376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9E0D233"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0ECA7D9"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S. Ordinaire</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1F007F4"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S. Extraordinaire</w:t>
            </w:r>
          </w:p>
        </w:tc>
      </w:tr>
      <w:tr w:rsidR="00090B6C" w:rsidRPr="009E486A" w14:paraId="5A1E9CB7" w14:textId="77777777">
        <w:tc>
          <w:tcPr>
            <w:tcW w:w="376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D709D70"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Droits constatés nets de l'exercice</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454AE60"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3 173 847,36</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FB266CC"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187 433,58</w:t>
            </w:r>
          </w:p>
        </w:tc>
      </w:tr>
      <w:tr w:rsidR="00090B6C" w:rsidRPr="009E486A" w14:paraId="79ACFE4C" w14:textId="77777777">
        <w:tc>
          <w:tcPr>
            <w:tcW w:w="376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36EF4F1"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Imputations de l'exercice</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2B7A0F0"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-3 150 011,14</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9A5D36E"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-108 988,40</w:t>
            </w:r>
          </w:p>
        </w:tc>
      </w:tr>
      <w:tr w:rsidR="00090B6C" w:rsidRPr="009E486A" w14:paraId="2985B418" w14:textId="77777777">
        <w:tc>
          <w:tcPr>
            <w:tcW w:w="376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CA4938E"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Résultat comptable</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0BDA8CB"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23 836,22</w:t>
            </w:r>
          </w:p>
        </w:tc>
        <w:tc>
          <w:tcPr>
            <w:tcW w:w="17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701577A"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78 445,18</w:t>
            </w:r>
          </w:p>
        </w:tc>
      </w:tr>
    </w:tbl>
    <w:p w14:paraId="095ACF38" w14:textId="77777777" w:rsidR="00090B6C" w:rsidRPr="009E486A" w:rsidRDefault="00090B6C"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bl>
      <w:tblPr>
        <w:tblW w:w="658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86"/>
        <w:gridCol w:w="2899"/>
      </w:tblGrid>
      <w:tr w:rsidR="00090B6C" w:rsidRPr="009E486A" w14:paraId="45397099" w14:textId="77777777">
        <w:tc>
          <w:tcPr>
            <w:tcW w:w="351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BCC4A4B"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27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74B0CDD"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Compte de résultat</w:t>
            </w:r>
          </w:p>
        </w:tc>
      </w:tr>
      <w:tr w:rsidR="00090B6C" w:rsidRPr="009E486A" w14:paraId="35ABED47" w14:textId="77777777">
        <w:tc>
          <w:tcPr>
            <w:tcW w:w="351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7A17027"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Produits </w:t>
            </w:r>
          </w:p>
        </w:tc>
        <w:tc>
          <w:tcPr>
            <w:tcW w:w="27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7586874"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2 863 627,21</w:t>
            </w:r>
          </w:p>
        </w:tc>
      </w:tr>
      <w:tr w:rsidR="00090B6C" w:rsidRPr="009E486A" w14:paraId="6A337A10" w14:textId="77777777">
        <w:tc>
          <w:tcPr>
            <w:tcW w:w="351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FBA8D0B"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Charges</w:t>
            </w:r>
          </w:p>
        </w:tc>
        <w:tc>
          <w:tcPr>
            <w:tcW w:w="27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2C1A714"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-2 886 250,81</w:t>
            </w:r>
          </w:p>
        </w:tc>
      </w:tr>
      <w:tr w:rsidR="00090B6C" w:rsidRPr="009E486A" w14:paraId="14B2ECF6" w14:textId="77777777">
        <w:tc>
          <w:tcPr>
            <w:tcW w:w="351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3DEA2CF"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BONI/Mali</w:t>
            </w:r>
          </w:p>
        </w:tc>
        <w:tc>
          <w:tcPr>
            <w:tcW w:w="276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F18C7BA"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-22 623,60</w:t>
            </w:r>
          </w:p>
        </w:tc>
      </w:tr>
    </w:tbl>
    <w:p w14:paraId="2F394A4C" w14:textId="77777777" w:rsidR="00090B6C" w:rsidRPr="009E486A" w:rsidRDefault="00090B6C"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bl>
      <w:tblPr>
        <w:tblW w:w="657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80"/>
        <w:gridCol w:w="2190"/>
      </w:tblGrid>
      <w:tr w:rsidR="00090B6C" w:rsidRPr="009E486A" w14:paraId="0C39D4EE" w14:textId="77777777">
        <w:tc>
          <w:tcPr>
            <w:tcW w:w="417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3E4108A"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F5B4A30"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Bilan</w:t>
            </w:r>
          </w:p>
        </w:tc>
      </w:tr>
      <w:tr w:rsidR="00090B6C" w:rsidRPr="009E486A" w14:paraId="0A518417" w14:textId="77777777">
        <w:tc>
          <w:tcPr>
            <w:tcW w:w="417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1AA587F"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Total bilantaire</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F11D628"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1 882 497,72</w:t>
            </w:r>
          </w:p>
        </w:tc>
      </w:tr>
      <w:tr w:rsidR="00090B6C" w:rsidRPr="009E486A" w14:paraId="06CFF20F" w14:textId="77777777">
        <w:tc>
          <w:tcPr>
            <w:tcW w:w="417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4452BBC"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Dont résultats reportés exercice</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CABD325"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-22 623,60</w:t>
            </w:r>
          </w:p>
        </w:tc>
      </w:tr>
      <w:tr w:rsidR="00090B6C" w:rsidRPr="009E486A" w14:paraId="7ED8121C" w14:textId="77777777">
        <w:tc>
          <w:tcPr>
            <w:tcW w:w="417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285E517"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Dont résultats reportés exercice précédent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5B293AD" w14:textId="77777777" w:rsidR="00090B6C" w:rsidRPr="009E486A" w:rsidRDefault="00090B6C"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-15 176,65</w:t>
            </w:r>
          </w:p>
        </w:tc>
      </w:tr>
    </w:tbl>
    <w:p w14:paraId="22EF6A38" w14:textId="77777777" w:rsidR="00381E58" w:rsidRPr="009E486A" w:rsidRDefault="00381E58" w:rsidP="00DE0128">
      <w:pPr>
        <w:tabs>
          <w:tab w:val="left" w:pos="2142"/>
        </w:tabs>
        <w:spacing w:before="119" w:after="120"/>
        <w:jc w:val="both"/>
        <w:rPr>
          <w:rFonts w:asciiTheme="minorHAnsi" w:hAnsiTheme="minorHAnsi"/>
          <w:b/>
          <w:bCs/>
        </w:rPr>
      </w:pPr>
    </w:p>
    <w:p w14:paraId="2AF34A5F" w14:textId="4FA1E9A3"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Finances — Fabrique d’Église Saint-Rémy — Compte de l’exercice 2025 — Approbation par expiration de délai — Communication</w:t>
      </w:r>
    </w:p>
    <w:p w14:paraId="5F1B910E"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763E51B5" w14:textId="7EDDA37A"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impérial du 30 décembre 1809 concernant les Fabriques d’Eglises.     </w:t>
      </w:r>
    </w:p>
    <w:p w14:paraId="4FD181CB" w14:textId="555333E7"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notamment les articles L1122-30, L1124-40, L1321-1 et L3111-1 à L3162-3.</w:t>
      </w:r>
    </w:p>
    <w:p w14:paraId="336D1819" w14:textId="0C1AC62A" w:rsidR="00090B6C" w:rsidRPr="009E486A" w:rsidRDefault="00090B6C"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Loi du 4 mars 1870 sur le temporel des cultes.</w:t>
      </w:r>
    </w:p>
    <w:p w14:paraId="7B423844" w14:textId="1F29E23A" w:rsidR="00090B6C" w:rsidRPr="009E486A" w:rsidRDefault="00291D28"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090B6C" w:rsidRPr="009E486A">
        <w:rPr>
          <w:rFonts w:asciiTheme="minorHAnsi" w:hAnsiTheme="minorHAnsi" w:cs="Arial"/>
          <w:color w:val="000000"/>
          <w:sz w:val="22"/>
          <w:szCs w:val="22"/>
        </w:rPr>
        <w:t>a note du 2 octobre 2012 sur les simplifications administratives – budgets et comptes des Fabriques d’Eglise</w:t>
      </w:r>
      <w:r w:rsidRPr="009E486A">
        <w:rPr>
          <w:rFonts w:asciiTheme="minorHAnsi" w:hAnsiTheme="minorHAnsi" w:cs="Arial"/>
          <w:color w:val="000000"/>
          <w:sz w:val="22"/>
          <w:szCs w:val="22"/>
        </w:rPr>
        <w:t>.</w:t>
      </w:r>
    </w:p>
    <w:p w14:paraId="367589F5" w14:textId="5CBE7C68" w:rsidR="00090B6C" w:rsidRPr="009E486A" w:rsidRDefault="00291D28"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090B6C" w:rsidRPr="009E486A">
        <w:rPr>
          <w:rFonts w:asciiTheme="minorHAnsi" w:hAnsiTheme="minorHAnsi" w:cs="Arial"/>
          <w:color w:val="000000"/>
          <w:sz w:val="22"/>
          <w:szCs w:val="22"/>
        </w:rPr>
        <w:t>a Circulaire du 12 décembre 2014 relative à la tutelle sur les actes des établissements chargés de la gestion du temporel des cultes reconnus</w:t>
      </w:r>
      <w:r w:rsidRPr="009E486A">
        <w:rPr>
          <w:rFonts w:asciiTheme="minorHAnsi" w:hAnsiTheme="minorHAnsi" w:cs="Arial"/>
          <w:color w:val="000000"/>
          <w:sz w:val="22"/>
          <w:szCs w:val="22"/>
        </w:rPr>
        <w:t>.</w:t>
      </w:r>
    </w:p>
    <w:p w14:paraId="563A3C37" w14:textId="284375CE" w:rsidR="00090B6C" w:rsidRPr="009E486A" w:rsidRDefault="00291D28"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090B6C" w:rsidRPr="009E486A">
        <w:rPr>
          <w:rFonts w:asciiTheme="minorHAnsi" w:hAnsiTheme="minorHAnsi" w:cs="Arial"/>
          <w:color w:val="000000"/>
          <w:sz w:val="22"/>
          <w:szCs w:val="22"/>
        </w:rPr>
        <w:t>a Circulaire du 21 janvier 2019 relative aux pièces justificative</w:t>
      </w:r>
      <w:r w:rsidRPr="009E486A">
        <w:rPr>
          <w:rFonts w:asciiTheme="minorHAnsi" w:hAnsiTheme="minorHAnsi" w:cs="Arial"/>
          <w:color w:val="000000"/>
          <w:sz w:val="22"/>
          <w:szCs w:val="22"/>
        </w:rPr>
        <w:t>s.</w:t>
      </w:r>
    </w:p>
    <w:p w14:paraId="00AC0448"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3EF19907" w14:textId="0910B685" w:rsidR="00291D28" w:rsidRPr="009E486A" w:rsidRDefault="00405911"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Prise d’acte de l</w:t>
      </w:r>
      <w:r w:rsidR="00291D28" w:rsidRPr="009E486A">
        <w:rPr>
          <w:rFonts w:asciiTheme="minorHAnsi" w:eastAsia="Times New Roman" w:hAnsiTheme="minorHAnsi" w:cs="Arial"/>
          <w:color w:val="000000"/>
          <w:kern w:val="0"/>
          <w:sz w:val="22"/>
          <w:szCs w:val="22"/>
          <w:lang w:val="fr-FR" w:eastAsia="fr-FR" w:bidi="ar-SA"/>
        </w:rPr>
        <w:t>’approbation par expiration du délai de la délibération du 14 avril 2026, par laquelle le Conseil de la Fabrique d’Eglise Saint-Rémy à Bienne-lez-Happart a décidé d’arrêter le compte de l’exercice 2025, aux chiffres suivants :</w:t>
      </w:r>
    </w:p>
    <w:p w14:paraId="55886AD2" w14:textId="77777777" w:rsidR="00291D28" w:rsidRPr="009E486A" w:rsidRDefault="00291D28"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bl>
      <w:tblPr>
        <w:tblW w:w="594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00"/>
        <w:gridCol w:w="2340"/>
      </w:tblGrid>
      <w:tr w:rsidR="00291D28" w:rsidRPr="009E486A" w14:paraId="1320F7B5"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D76ECDA"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6695CFD"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Montant</w:t>
            </w:r>
          </w:p>
        </w:tc>
      </w:tr>
      <w:tr w:rsidR="00291D28" w:rsidRPr="009E486A" w14:paraId="5B66D2C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2CB8B28"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ordinaires totales</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5A66469"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2 000,59</w:t>
            </w:r>
          </w:p>
        </w:tc>
      </w:tr>
      <w:tr w:rsidR="00291D28" w:rsidRPr="009E486A" w14:paraId="32478EA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2B02250"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i/>
                <w:iCs/>
                <w:color w:val="000000"/>
                <w:kern w:val="0"/>
                <w:sz w:val="22"/>
                <w:szCs w:val="22"/>
                <w:lang w:val="fr-FR" w:eastAsia="fr-FR" w:bidi="ar-SA"/>
              </w:rPr>
              <w:t>dont intervention communale</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A2115A2"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i/>
                <w:iCs/>
                <w:color w:val="000000"/>
                <w:kern w:val="0"/>
                <w:sz w:val="22"/>
                <w:szCs w:val="22"/>
                <w:lang w:val="fr-FR" w:eastAsia="fr-FR" w:bidi="ar-SA"/>
              </w:rPr>
              <w:t>1 031,92</w:t>
            </w:r>
          </w:p>
        </w:tc>
      </w:tr>
      <w:tr w:rsidR="00291D28" w:rsidRPr="009E486A" w14:paraId="0BC7F1F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E38ED0A"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extraordinaires totales</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8EA9E4D"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12 655,09</w:t>
            </w:r>
          </w:p>
        </w:tc>
      </w:tr>
      <w:tr w:rsidR="00291D28" w:rsidRPr="009E486A" w14:paraId="24F69959"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09ABCEB"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ordinaires chap. I</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B4E4696"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293,21</w:t>
            </w:r>
          </w:p>
        </w:tc>
      </w:tr>
      <w:tr w:rsidR="00291D28" w:rsidRPr="009E486A" w14:paraId="72D1105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365AF4B"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ordinaires chap. II</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0F02A06C"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1 594,49</w:t>
            </w:r>
          </w:p>
        </w:tc>
      </w:tr>
      <w:tr w:rsidR="00291D28" w:rsidRPr="009E486A" w14:paraId="7AA37E0E"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596CFA40"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extraordinaires</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4C953DF"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0,00</w:t>
            </w:r>
          </w:p>
        </w:tc>
      </w:tr>
      <w:tr w:rsidR="00291D28" w:rsidRPr="009E486A" w14:paraId="25C1A814"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6D27DC70"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totales</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D40B08C"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14 655,68</w:t>
            </w:r>
          </w:p>
        </w:tc>
      </w:tr>
      <w:tr w:rsidR="00291D28" w:rsidRPr="009E486A" w14:paraId="0C4B3DA5"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159CA1B"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Dépenses totales</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CAB222F"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1 887,70</w:t>
            </w:r>
          </w:p>
        </w:tc>
      </w:tr>
      <w:tr w:rsidR="00291D28" w:rsidRPr="009E486A" w14:paraId="7798F2B8"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D888AE1"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Excédent ou déficit</w:t>
            </w:r>
          </w:p>
        </w:tc>
        <w:tc>
          <w:tcPr>
            <w:tcW w:w="2340" w:type="dxa"/>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A44AC76" w14:textId="77777777" w:rsidR="00291D28" w:rsidRPr="009E486A" w:rsidRDefault="00291D28"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i/>
                <w:iCs/>
                <w:color w:val="000000"/>
                <w:kern w:val="0"/>
                <w:sz w:val="22"/>
                <w:szCs w:val="22"/>
                <w:lang w:val="fr-FR" w:eastAsia="fr-FR" w:bidi="ar-SA"/>
              </w:rPr>
              <w:t>12 767,98</w:t>
            </w:r>
          </w:p>
        </w:tc>
      </w:tr>
    </w:tbl>
    <w:p w14:paraId="41A48477" w14:textId="77777777" w:rsidR="00291D28" w:rsidRPr="009E486A" w:rsidRDefault="00291D28"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p w14:paraId="6B4BA265" w14:textId="77777777" w:rsidR="00381E58" w:rsidRPr="009E486A" w:rsidRDefault="00381E58" w:rsidP="00DE0128">
      <w:pPr>
        <w:tabs>
          <w:tab w:val="left" w:pos="2142"/>
        </w:tabs>
        <w:spacing w:before="119" w:after="120"/>
        <w:jc w:val="both"/>
        <w:rPr>
          <w:rFonts w:asciiTheme="minorHAnsi" w:hAnsiTheme="minorHAnsi"/>
          <w:b/>
          <w:bCs/>
        </w:rPr>
      </w:pPr>
    </w:p>
    <w:p w14:paraId="5278F368" w14:textId="34A7E00D"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Finances — Fabrique d’Église Sainte-Geneviève — Compte de l’exercice 2025 — Approbation par expiration de délai — Communication</w:t>
      </w:r>
    </w:p>
    <w:p w14:paraId="7E85AF77" w14:textId="1CD30B4F"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59344952"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impérial du 30 décembre 1809 concernant les Fabriques d’Eglises.     </w:t>
      </w:r>
    </w:p>
    <w:p w14:paraId="45EDBDC2"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lastRenderedPageBreak/>
        <w:t>Le Code de la Démocratie Locale et de la Décentralisation, notamment les articles L1122-30, L1124-40, L1321-1 et L3111-1 à L3162-3.</w:t>
      </w:r>
    </w:p>
    <w:p w14:paraId="4C9595B1"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Loi du 4 mars 1870 sur le temporel des cultes.</w:t>
      </w:r>
    </w:p>
    <w:p w14:paraId="219C7574"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note du 2 octobre 2012 sur les simplifications administratives – budgets et comptes des Fabriques d’Eglise.</w:t>
      </w:r>
    </w:p>
    <w:p w14:paraId="0A52A7EE"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Circulaire du 12 décembre 2014 relative à la tutelle sur les actes des établissements chargés de la gestion du temporel des cultes reconnus.</w:t>
      </w:r>
    </w:p>
    <w:p w14:paraId="2000FF33" w14:textId="77777777" w:rsidR="000D50E5" w:rsidRPr="009E486A" w:rsidRDefault="000D50E5"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Circulaire du 21 janvier 2019 relative aux pièces justificatives.</w:t>
      </w:r>
    </w:p>
    <w:p w14:paraId="202CDDB3"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6BB8C46A" w14:textId="0B71C06F" w:rsidR="000D50E5" w:rsidRPr="009E486A" w:rsidRDefault="00405911" w:rsidP="00DE0128">
      <w:pPr>
        <w:shd w:val="clear" w:color="auto" w:fill="FFFFFF"/>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eastAsia="fr-FR" w:bidi="ar-SA"/>
        </w:rPr>
        <w:t>Prise d’acte de l’</w:t>
      </w:r>
      <w:r w:rsidR="000D50E5" w:rsidRPr="009E486A">
        <w:rPr>
          <w:rFonts w:asciiTheme="minorHAnsi" w:eastAsia="Times New Roman" w:hAnsiTheme="minorHAnsi" w:cs="Arial"/>
          <w:color w:val="000000"/>
          <w:kern w:val="0"/>
          <w:sz w:val="22"/>
          <w:szCs w:val="22"/>
          <w:lang w:val="fr-FR" w:eastAsia="fr-FR" w:bidi="ar-SA"/>
        </w:rPr>
        <w:t>approbation par expiration du délai de la délibération du 20 avril 2026, par laquelle le Conseil de la Fabrique d’Eglise Sainte-Geneviève à Mont-Sainte-Geneviève a décidé d’arrêter le compte de l’exercice 2025, aux chiffres suivants : </w:t>
      </w:r>
    </w:p>
    <w:tbl>
      <w:tblPr>
        <w:tblW w:w="75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82"/>
        <w:gridCol w:w="1818"/>
      </w:tblGrid>
      <w:tr w:rsidR="000D50E5" w:rsidRPr="009E486A" w14:paraId="7328A13F"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A5419A2"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76830E4"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i/>
                <w:iCs/>
                <w:color w:val="000000"/>
                <w:kern w:val="0"/>
                <w:sz w:val="22"/>
                <w:szCs w:val="22"/>
                <w:lang w:val="fr-FR" w:eastAsia="fr-FR" w:bidi="ar-SA"/>
              </w:rPr>
              <w:t>Montant</w:t>
            </w:r>
          </w:p>
        </w:tc>
      </w:tr>
      <w:tr w:rsidR="000D50E5" w:rsidRPr="009E486A" w14:paraId="64FC3750"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8BEE8FE"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ordinaires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EFD42E5"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22 196,86</w:t>
            </w:r>
          </w:p>
        </w:tc>
      </w:tr>
      <w:tr w:rsidR="000D50E5" w:rsidRPr="009E486A" w14:paraId="565CA63B"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AE2D606"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i/>
                <w:iCs/>
                <w:color w:val="000000"/>
                <w:kern w:val="0"/>
                <w:sz w:val="22"/>
                <w:szCs w:val="22"/>
                <w:lang w:val="fr-FR" w:eastAsia="fr-FR" w:bidi="ar-SA"/>
              </w:rPr>
              <w:t>dont intervention communale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B39757A"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i/>
                <w:iCs/>
                <w:color w:val="000000"/>
                <w:kern w:val="0"/>
                <w:sz w:val="22"/>
                <w:szCs w:val="22"/>
                <w:lang w:val="fr-FR" w:eastAsia="fr-FR" w:bidi="ar-SA"/>
              </w:rPr>
              <w:t>20 542,71</w:t>
            </w:r>
          </w:p>
        </w:tc>
      </w:tr>
      <w:tr w:rsidR="000D50E5" w:rsidRPr="009E486A" w14:paraId="53784BB7"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B620844"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extraordinaires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AE3E295"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8 750,75</w:t>
            </w:r>
          </w:p>
        </w:tc>
      </w:tr>
      <w:tr w:rsidR="000D50E5" w:rsidRPr="009E486A" w14:paraId="06100D96"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8FD804D"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ordinaires chap. 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402FD520"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456,85</w:t>
            </w:r>
          </w:p>
        </w:tc>
      </w:tr>
      <w:tr w:rsidR="000D50E5" w:rsidRPr="009E486A" w14:paraId="1AF11731"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0E5E89E"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ordinaires chap. II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F19C6EB"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17 392,38</w:t>
            </w:r>
          </w:p>
        </w:tc>
      </w:tr>
      <w:tr w:rsidR="000D50E5" w:rsidRPr="009E486A" w14:paraId="1371126F"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E1362FB"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Dépenses extraordinaires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38C90928"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color w:val="000000"/>
                <w:kern w:val="0"/>
                <w:sz w:val="22"/>
                <w:szCs w:val="22"/>
                <w:lang w:val="fr-FR" w:eastAsia="fr-FR" w:bidi="ar-SA"/>
              </w:rPr>
              <w:t>0,00</w:t>
            </w:r>
          </w:p>
        </w:tc>
      </w:tr>
      <w:tr w:rsidR="000D50E5" w:rsidRPr="009E486A" w14:paraId="5E1C48ED"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3DCEA10"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Recettes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D0C5B6C"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30 947,61</w:t>
            </w:r>
          </w:p>
        </w:tc>
      </w:tr>
      <w:tr w:rsidR="000D50E5" w:rsidRPr="009E486A" w14:paraId="2FD43A37"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E268E53"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Dépenses totales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282F0B60"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17 849,23</w:t>
            </w:r>
          </w:p>
        </w:tc>
      </w:tr>
      <w:tr w:rsidR="000D50E5" w:rsidRPr="009E486A" w14:paraId="1DD81A32"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7BCA2FBC"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Excédent ou déficit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2" w:type="dxa"/>
              <w:left w:w="72" w:type="dxa"/>
              <w:bottom w:w="72" w:type="dxa"/>
              <w:right w:w="72" w:type="dxa"/>
            </w:tcMar>
            <w:vAlign w:val="center"/>
            <w:hideMark/>
          </w:tcPr>
          <w:p w14:paraId="169644BF" w14:textId="77777777" w:rsidR="000D50E5" w:rsidRPr="009E486A" w:rsidRDefault="000D50E5" w:rsidP="00DE0128">
            <w:pPr>
              <w:suppressAutoHyphens w:val="0"/>
              <w:spacing w:after="120"/>
              <w:jc w:val="both"/>
              <w:rPr>
                <w:rFonts w:asciiTheme="minorHAnsi" w:eastAsia="Times New Roman" w:hAnsiTheme="minorHAnsi" w:cs="Arial"/>
                <w:color w:val="000000"/>
                <w:kern w:val="0"/>
                <w:sz w:val="22"/>
                <w:szCs w:val="22"/>
                <w:lang w:val="fr-FR" w:eastAsia="fr-FR" w:bidi="ar-SA"/>
              </w:rPr>
            </w:pPr>
            <w:r w:rsidRPr="009E486A">
              <w:rPr>
                <w:rFonts w:asciiTheme="minorHAnsi" w:eastAsia="Times New Roman" w:hAnsiTheme="minorHAnsi" w:cs="Arial"/>
                <w:b/>
                <w:bCs/>
                <w:color w:val="000000"/>
                <w:kern w:val="0"/>
                <w:sz w:val="22"/>
                <w:szCs w:val="22"/>
                <w:lang w:val="fr-FR" w:eastAsia="fr-FR" w:bidi="ar-SA"/>
              </w:rPr>
              <w:t>13 098,38</w:t>
            </w:r>
          </w:p>
        </w:tc>
      </w:tr>
    </w:tbl>
    <w:p w14:paraId="71B48038" w14:textId="77777777" w:rsidR="00381E58" w:rsidRPr="009E486A" w:rsidRDefault="00381E58" w:rsidP="00DE0128">
      <w:pPr>
        <w:tabs>
          <w:tab w:val="left" w:pos="2142"/>
        </w:tabs>
        <w:spacing w:before="119" w:after="120"/>
        <w:jc w:val="both"/>
        <w:rPr>
          <w:rFonts w:asciiTheme="minorHAnsi" w:hAnsiTheme="minorHAnsi"/>
          <w:b/>
          <w:bCs/>
        </w:rPr>
      </w:pPr>
    </w:p>
    <w:p w14:paraId="051EAEE8" w14:textId="01F8CEA9"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 xml:space="preserve">Service Mobilité — Circulation routière — Rue du </w:t>
      </w:r>
      <w:proofErr w:type="spellStart"/>
      <w:r w:rsidRPr="009E486A">
        <w:rPr>
          <w:rFonts w:asciiTheme="minorHAnsi" w:hAnsiTheme="minorHAnsi"/>
          <w:b/>
          <w:bCs/>
        </w:rPr>
        <w:t>Crombouly</w:t>
      </w:r>
      <w:proofErr w:type="spellEnd"/>
      <w:r w:rsidRPr="009E486A">
        <w:rPr>
          <w:rFonts w:asciiTheme="minorHAnsi" w:hAnsiTheme="minorHAnsi"/>
          <w:b/>
          <w:bCs/>
        </w:rPr>
        <w:t xml:space="preserve"> — Règlement complémentaire sur la police de circulation routière — Ajout de signaux d’interdiction – Accès interdit aux conducteurs de véhicules dont la masse en charge dépasse 7.5t — Décision — Vote</w:t>
      </w:r>
    </w:p>
    <w:p w14:paraId="7F8358F0" w14:textId="235821FB"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1DD06ACD" w14:textId="01B8F70B"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29 juillet 1991 sur la motivation des actes administratifs.</w:t>
      </w:r>
    </w:p>
    <w:p w14:paraId="5F9DEBB3" w14:textId="0B91F1B0"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notamment l'article L1122-30.</w:t>
      </w:r>
    </w:p>
    <w:p w14:paraId="486818D4" w14:textId="2C437E4B"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loi du 16 mars 1968 relative à la police de la circulation routière et ses arrêtés d’exécution.</w:t>
      </w:r>
    </w:p>
    <w:p w14:paraId="3CC823BE" w14:textId="77777777"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du 19 décembre 2007 relatif à la tutelle d’approbation de la Région wallonne sur les règlements complémentaires relatifs aux voies publiques et à la circulation des transports en commun.</w:t>
      </w:r>
    </w:p>
    <w:p w14:paraId="36805344" w14:textId="4CEC0950"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L’Arrêté royal du 1</w:t>
      </w:r>
      <w:r w:rsidRPr="009E486A">
        <w:rPr>
          <w:rFonts w:asciiTheme="minorHAnsi" w:hAnsiTheme="minorHAnsi" w:cs="Arial"/>
          <w:color w:val="000000"/>
          <w:sz w:val="22"/>
          <w:szCs w:val="22"/>
          <w:vertAlign w:val="superscript"/>
        </w:rPr>
        <w:t>er</w:t>
      </w:r>
      <w:r w:rsidRPr="009E486A">
        <w:rPr>
          <w:rFonts w:asciiTheme="minorHAnsi" w:hAnsiTheme="minorHAnsi" w:cs="Arial"/>
          <w:color w:val="000000"/>
          <w:sz w:val="22"/>
          <w:szCs w:val="22"/>
        </w:rPr>
        <w:t> décembre 1975 portant règlement général sur la police de la circulation routière et de l’usage de la voie publique.</w:t>
      </w:r>
    </w:p>
    <w:p w14:paraId="74071A03" w14:textId="530B0D51"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lastRenderedPageBreak/>
        <w:t>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w:t>
      </w:r>
    </w:p>
    <w:p w14:paraId="4F7DDBC7" w14:textId="0E2CD9C7"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L’Arrêté ministériel du 11 octobre 1976 fixant les dimensions minimales et les conditions particulières de placement de la signalisation routière et ses annexes.</w:t>
      </w:r>
    </w:p>
    <w:p w14:paraId="6CF7E619" w14:textId="40334879" w:rsidR="00381E58"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Circulaire ministérielle du 10 avril 2019 relative aux règlements complémentaires de circulation routière et à la prise en charge de la signalisation.</w:t>
      </w:r>
    </w:p>
    <w:p w14:paraId="7D43311C"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3103F6A2" w14:textId="161D2D00" w:rsidR="006178C2" w:rsidRPr="009E486A" w:rsidRDefault="006178C2" w:rsidP="00DE0128">
      <w:pPr>
        <w:tabs>
          <w:tab w:val="left" w:pos="2142"/>
        </w:tabs>
        <w:spacing w:before="119" w:after="120"/>
        <w:jc w:val="both"/>
        <w:rPr>
          <w:rFonts w:asciiTheme="minorHAnsi" w:hAnsiTheme="minorHAnsi" w:cs="Arial"/>
          <w:sz w:val="22"/>
          <w:szCs w:val="22"/>
        </w:rPr>
      </w:pPr>
      <w:r w:rsidRPr="009E486A">
        <w:rPr>
          <w:rFonts w:asciiTheme="minorHAnsi" w:hAnsiTheme="minorHAnsi" w:cs="Arial"/>
          <w:color w:val="000000"/>
          <w:sz w:val="22"/>
          <w:szCs w:val="22"/>
          <w:shd w:val="clear" w:color="auto" w:fill="FFFFFF"/>
        </w:rPr>
        <w:t xml:space="preserve">L’arrêt du Règlement complémentaire sur la police de circulation routière -Rue du </w:t>
      </w:r>
      <w:proofErr w:type="spellStart"/>
      <w:r w:rsidRPr="009E486A">
        <w:rPr>
          <w:rFonts w:asciiTheme="minorHAnsi" w:hAnsiTheme="minorHAnsi" w:cs="Arial"/>
          <w:color w:val="000000"/>
          <w:sz w:val="22"/>
          <w:szCs w:val="22"/>
          <w:shd w:val="clear" w:color="auto" w:fill="FFFFFF"/>
        </w:rPr>
        <w:t>crombouly</w:t>
      </w:r>
      <w:proofErr w:type="spellEnd"/>
      <w:r w:rsidRPr="009E486A">
        <w:rPr>
          <w:rFonts w:asciiTheme="minorHAnsi" w:hAnsiTheme="minorHAnsi" w:cs="Arial"/>
          <w:color w:val="000000"/>
          <w:sz w:val="22"/>
          <w:szCs w:val="22"/>
          <w:shd w:val="clear" w:color="auto" w:fill="FFFFFF"/>
        </w:rPr>
        <w:t xml:space="preserve">- Ajout de signaux d’interdiction – Accès interdit aux conducteurs de véhicules dont la masse en charge dépasse 7.5t comme </w:t>
      </w:r>
      <w:r w:rsidRPr="009E486A">
        <w:rPr>
          <w:rFonts w:asciiTheme="minorHAnsi" w:hAnsiTheme="minorHAnsi" w:cs="Arial"/>
          <w:sz w:val="22"/>
          <w:szCs w:val="22"/>
        </w:rPr>
        <w:t>précisé dans le dispositif de la délibération.</w:t>
      </w:r>
    </w:p>
    <w:p w14:paraId="1C54F2F1" w14:textId="0019704F" w:rsidR="00381E58" w:rsidRPr="009E486A" w:rsidRDefault="00381E58" w:rsidP="00DE0128">
      <w:pPr>
        <w:tabs>
          <w:tab w:val="left" w:pos="2142"/>
        </w:tabs>
        <w:spacing w:before="119" w:after="120"/>
        <w:jc w:val="both"/>
        <w:rPr>
          <w:rFonts w:asciiTheme="minorHAnsi" w:hAnsiTheme="minorHAnsi"/>
        </w:rPr>
      </w:pPr>
    </w:p>
    <w:p w14:paraId="0528B0C2" w14:textId="123D438D"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Environnement — Forêts — Bois communal — Location du droit de chasse — Cahiers général et spécial des charges — Décision — Vote</w:t>
      </w:r>
    </w:p>
    <w:p w14:paraId="2347E3D3" w14:textId="298B7EC5"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6D657B03" w14:textId="547C1D15"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28 février 1882 sur la chasse et ses modifications ultérieures.</w:t>
      </w:r>
    </w:p>
    <w:p w14:paraId="692D1DB8" w14:textId="03F62D01"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notamment, les articles L1123-23 &amp;</w:t>
      </w:r>
      <w:r w:rsidRPr="009E486A">
        <w:rPr>
          <w:rStyle w:val="lev"/>
          <w:rFonts w:asciiTheme="minorHAnsi" w:hAnsiTheme="minorHAnsi" w:cs="Arial"/>
          <w:color w:val="000000"/>
          <w:sz w:val="22"/>
          <w:szCs w:val="22"/>
        </w:rPr>
        <w:t> </w:t>
      </w:r>
      <w:r w:rsidRPr="009E486A">
        <w:rPr>
          <w:rFonts w:asciiTheme="minorHAnsi" w:hAnsiTheme="minorHAnsi" w:cs="Arial"/>
          <w:color w:val="000000"/>
          <w:sz w:val="22"/>
          <w:szCs w:val="22"/>
        </w:rPr>
        <w:t>L1122-36, ce dernier stipulant la compétence du Conseil Communal pour l’administration des bois et forêts de la commune.</w:t>
      </w:r>
    </w:p>
    <w:p w14:paraId="02DA10F6" w14:textId="5A28D642" w:rsidR="006178C2" w:rsidRPr="009E486A" w:rsidRDefault="006178C2"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0222D7" w:rsidRPr="009E486A">
        <w:rPr>
          <w:rFonts w:asciiTheme="minorHAnsi" w:hAnsiTheme="minorHAnsi" w:cs="Arial"/>
          <w:color w:val="000000"/>
          <w:sz w:val="22"/>
          <w:szCs w:val="22"/>
        </w:rPr>
        <w:t>’</w:t>
      </w:r>
      <w:r w:rsidRPr="009E486A">
        <w:rPr>
          <w:rFonts w:asciiTheme="minorHAnsi" w:hAnsiTheme="minorHAnsi" w:cs="Arial"/>
          <w:color w:val="000000"/>
          <w:sz w:val="22"/>
          <w:szCs w:val="22"/>
        </w:rPr>
        <w:t>article L1222-1 du Code de la Démocratie Locale et de la Décentralisation, fruit du décret du 28 mars 2024, qui dispose que : </w:t>
      </w:r>
      <w:r w:rsidRPr="009E486A">
        <w:rPr>
          <w:rStyle w:val="Accentuation"/>
          <w:rFonts w:asciiTheme="minorHAnsi" w:hAnsiTheme="minorHAnsi" w:cs="Arial"/>
          <w:color w:val="000000"/>
          <w:sz w:val="22"/>
          <w:szCs w:val="22"/>
        </w:rPr>
        <w:t>« Cet article vise à remplacer l’article L1222-1 du même Code en fixant la répartition des compétences entre les différentes instances communales dans le cadre de leurs opérations immobilières. Il s’agit donc de l’ensemble des opérations débouchant sur la conclusion d’un contrat : vente, échange, bail d’habitation, bail à ferme, </w:t>
      </w:r>
      <w:r w:rsidRPr="009E486A">
        <w:rPr>
          <w:rStyle w:val="lev"/>
          <w:rFonts w:asciiTheme="minorHAnsi" w:hAnsiTheme="minorHAnsi" w:cs="Arial"/>
          <w:i/>
          <w:iCs/>
          <w:color w:val="000000"/>
          <w:sz w:val="22"/>
          <w:szCs w:val="22"/>
        </w:rPr>
        <w:t>bail de chasse</w:t>
      </w:r>
      <w:r w:rsidRPr="009E486A">
        <w:rPr>
          <w:rStyle w:val="Accentuation"/>
          <w:rFonts w:asciiTheme="minorHAnsi" w:hAnsiTheme="minorHAnsi" w:cs="Arial"/>
          <w:color w:val="000000"/>
          <w:sz w:val="22"/>
          <w:szCs w:val="22"/>
        </w:rPr>
        <w:t>, bail commercial, bail emphytéotique, droit de superficie, acquisition, concession domaniale, biens communaux (sarts, droits d’aisance, etc.), etc. »</w:t>
      </w:r>
      <w:r w:rsidR="000222D7" w:rsidRPr="009E486A">
        <w:rPr>
          <w:rStyle w:val="Accentuation"/>
          <w:rFonts w:asciiTheme="minorHAnsi" w:hAnsiTheme="minorHAnsi" w:cs="Arial"/>
          <w:color w:val="000000"/>
          <w:sz w:val="22"/>
          <w:szCs w:val="22"/>
        </w:rPr>
        <w:t>.</w:t>
      </w:r>
    </w:p>
    <w:p w14:paraId="02C95D2D" w14:textId="528C65DB" w:rsidR="006178C2" w:rsidRPr="009E486A" w:rsidRDefault="000222D7"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6178C2" w:rsidRPr="009E486A">
        <w:rPr>
          <w:rFonts w:asciiTheme="minorHAnsi" w:hAnsiTheme="minorHAnsi" w:cs="Arial"/>
          <w:color w:val="000000"/>
          <w:sz w:val="22"/>
          <w:szCs w:val="22"/>
        </w:rPr>
        <w:t>e Décret wallon du 15 juillet 2008 relatif au code forestier</w:t>
      </w:r>
      <w:r w:rsidRPr="009E486A">
        <w:rPr>
          <w:rFonts w:asciiTheme="minorHAnsi" w:hAnsiTheme="minorHAnsi" w:cs="Arial"/>
          <w:color w:val="000000"/>
          <w:sz w:val="22"/>
          <w:szCs w:val="22"/>
        </w:rPr>
        <w:t>.</w:t>
      </w:r>
    </w:p>
    <w:p w14:paraId="0208367C" w14:textId="12AE0EB8" w:rsidR="006178C2" w:rsidRPr="009E486A" w:rsidRDefault="000222D7"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6178C2" w:rsidRPr="009E486A">
        <w:rPr>
          <w:rFonts w:asciiTheme="minorHAnsi" w:hAnsiTheme="minorHAnsi" w:cs="Arial"/>
          <w:color w:val="000000"/>
          <w:sz w:val="22"/>
          <w:szCs w:val="22"/>
        </w:rPr>
        <w:t>a Circulaire ministérielle du 20 juin 2024 relative aux opérations immobilières précise que les articles L1222-1 et L1222-1bis du CDLD visent notamment, au titre des opérations immobilières, « l’octroi d’un droit de chasse »</w:t>
      </w:r>
      <w:r w:rsidRPr="009E486A">
        <w:rPr>
          <w:rFonts w:asciiTheme="minorHAnsi" w:hAnsiTheme="minorHAnsi" w:cs="Arial"/>
          <w:color w:val="000000"/>
          <w:sz w:val="22"/>
          <w:szCs w:val="22"/>
        </w:rPr>
        <w:t>.</w:t>
      </w:r>
    </w:p>
    <w:p w14:paraId="34B2A261"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09DF97AE" w14:textId="77777777"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Style w:val="lev"/>
          <w:rFonts w:asciiTheme="minorHAnsi" w:hAnsiTheme="minorHAnsi" w:cs="Arial"/>
          <w:b w:val="0"/>
          <w:bCs w:val="0"/>
          <w:color w:val="000000"/>
          <w:sz w:val="22"/>
          <w:szCs w:val="22"/>
          <w:lang w:val="fr-BE"/>
        </w:rPr>
        <w:t>L’approbation du</w:t>
      </w:r>
      <w:r w:rsidRPr="009E486A">
        <w:rPr>
          <w:rFonts w:asciiTheme="minorHAnsi" w:hAnsiTheme="minorHAnsi" w:cs="Arial"/>
          <w:color w:val="000000"/>
          <w:sz w:val="22"/>
          <w:szCs w:val="22"/>
        </w:rPr>
        <w:t xml:space="preserve"> cahier général des charges et du cahier spécial des charges relatifs à la location du droit de chasse dans le bois communal, y compris les plaines, situées sur le territoire des anciennes communes de Lobbes et de Mont-Sainte-Geneviève.</w:t>
      </w:r>
    </w:p>
    <w:p w14:paraId="42B50C98" w14:textId="5A153EE0"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L’approbation de la procédure d'adjudication publique pour la location du droit de chasse du bois communal de Lobbes afin de garantir l'égalité entre candidats, la transparence et la maximisation du revenu communal. </w:t>
      </w:r>
    </w:p>
    <w:p w14:paraId="7EC9793E" w14:textId="77777777" w:rsidR="00381E58" w:rsidRPr="009E486A" w:rsidRDefault="00381E58" w:rsidP="00DE0128">
      <w:pPr>
        <w:tabs>
          <w:tab w:val="left" w:pos="2142"/>
        </w:tabs>
        <w:spacing w:before="119" w:after="120"/>
        <w:jc w:val="both"/>
        <w:rPr>
          <w:rFonts w:asciiTheme="minorHAnsi" w:hAnsiTheme="minorHAnsi"/>
          <w:b/>
          <w:bCs/>
          <w:lang w:val="fr-FR"/>
        </w:rPr>
      </w:pPr>
    </w:p>
    <w:p w14:paraId="0511B7FB" w14:textId="7968CEDC"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 xml:space="preserve">Service Environnement — Domaine public — DÉCRET VOIRIES — 2026/DV/2 — Sentiers : Demande de modification d'une voirie communale — Sentiers 35 &amp; 36 à Sars-la-Buissière — Décision — Vote </w:t>
      </w:r>
    </w:p>
    <w:p w14:paraId="2035A089" w14:textId="1C4A5AF0"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44B953A4" w14:textId="5D551659"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29 juillet 1991 sur la motivation des actes administratifs.</w:t>
      </w:r>
    </w:p>
    <w:p w14:paraId="14CA85BC" w14:textId="52BB0D9C"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lastRenderedPageBreak/>
        <w:t>Le Code de la Démocratie locale et de la Décentralisation, notamment l'article L1123-23.</w:t>
      </w:r>
    </w:p>
    <w:p w14:paraId="387937E4" w14:textId="07461665"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du 6 février 2014 relatif à la voirie communale.</w:t>
      </w:r>
    </w:p>
    <w:p w14:paraId="1D620151" w14:textId="4807A044" w:rsidR="00504329" w:rsidRPr="009E486A" w:rsidRDefault="0050432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L’article 11 du décret précité qui dispose que : "</w:t>
      </w:r>
      <w:r w:rsidRPr="009E486A">
        <w:rPr>
          <w:rStyle w:val="Accentuation"/>
          <w:rFonts w:asciiTheme="minorHAnsi" w:hAnsiTheme="minorHAnsi" w:cs="Arial"/>
          <w:color w:val="000000"/>
          <w:sz w:val="22"/>
          <w:szCs w:val="22"/>
        </w:rPr>
        <w:t>Tout dossier de demande de création, de modification, de confirmation ou de suppression d’une voirie communale, transmis au conseil communal, comprend :</w:t>
      </w:r>
    </w:p>
    <w:p w14:paraId="53D951F2" w14:textId="77777777" w:rsidR="00504329" w:rsidRPr="009E486A" w:rsidRDefault="00504329" w:rsidP="00DE0128">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9E486A">
        <w:rPr>
          <w:rStyle w:val="Accentuation"/>
          <w:rFonts w:asciiTheme="minorHAnsi" w:hAnsiTheme="minorHAnsi" w:cs="Arial"/>
          <w:color w:val="000000"/>
          <w:sz w:val="22"/>
          <w:szCs w:val="22"/>
        </w:rPr>
        <w:t>• 1° un schéma général du réseau des voiries dans lequel s’inscrit la demande ;</w:t>
      </w:r>
    </w:p>
    <w:p w14:paraId="5329A2BB" w14:textId="77777777" w:rsidR="00504329" w:rsidRPr="009E486A" w:rsidRDefault="00504329" w:rsidP="00DE0128">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9E486A">
        <w:rPr>
          <w:rStyle w:val="Accentuation"/>
          <w:rFonts w:asciiTheme="minorHAnsi" w:hAnsiTheme="minorHAnsi" w:cs="Arial"/>
          <w:color w:val="000000"/>
          <w:sz w:val="22"/>
          <w:szCs w:val="22"/>
        </w:rPr>
        <w:t>• 2° une justification de la demande eu égard aux compétences dévolues à la commune en matière de propreté, de salubrité, de sûreté, de tranquillité, de convivialité et de commodité du passage dans les espaces publics ;</w:t>
      </w:r>
    </w:p>
    <w:p w14:paraId="7F54B666" w14:textId="77777777" w:rsidR="00504329" w:rsidRPr="009E486A" w:rsidRDefault="00504329" w:rsidP="00DE0128">
      <w:pPr>
        <w:pStyle w:val="NormalWeb"/>
        <w:shd w:val="clear" w:color="auto" w:fill="FFFFFF"/>
        <w:spacing w:before="0" w:beforeAutospacing="0" w:after="120" w:afterAutospacing="0"/>
        <w:ind w:firstLine="975"/>
        <w:jc w:val="both"/>
        <w:rPr>
          <w:rFonts w:asciiTheme="minorHAnsi" w:hAnsiTheme="minorHAnsi" w:cs="Arial"/>
          <w:color w:val="000000"/>
          <w:sz w:val="22"/>
          <w:szCs w:val="22"/>
        </w:rPr>
      </w:pPr>
      <w:r w:rsidRPr="009E486A">
        <w:rPr>
          <w:rStyle w:val="Accentuation"/>
          <w:rFonts w:asciiTheme="minorHAnsi" w:hAnsiTheme="minorHAnsi" w:cs="Arial"/>
          <w:color w:val="000000"/>
          <w:sz w:val="22"/>
          <w:szCs w:val="22"/>
        </w:rPr>
        <w:t>• 3° un plan de délimitation </w:t>
      </w:r>
      <w:r w:rsidRPr="009E486A">
        <w:rPr>
          <w:rFonts w:asciiTheme="minorHAnsi" w:hAnsiTheme="minorHAnsi" w:cs="Arial"/>
          <w:color w:val="000000"/>
          <w:sz w:val="22"/>
          <w:szCs w:val="22"/>
        </w:rPr>
        <w:t>*" ;</w:t>
      </w:r>
    </w:p>
    <w:p w14:paraId="29B48890"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6C987160" w14:textId="4096E7A2" w:rsidR="00B1699D" w:rsidRPr="009E486A" w:rsidRDefault="00F978DA"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P</w:t>
      </w:r>
      <w:r w:rsidR="00B1699D" w:rsidRPr="009E486A">
        <w:rPr>
          <w:rFonts w:asciiTheme="minorHAnsi" w:hAnsiTheme="minorHAnsi" w:cs="Arial"/>
          <w:color w:val="000000"/>
          <w:sz w:val="22"/>
          <w:szCs w:val="22"/>
        </w:rPr>
        <w:t>de connaissance de la demande émanant de Madame CHRETIEN &amp; Monsieur BERNARD d'une part et de la SCRL FONDS DU LOGEMENT DES FAMILLES NOMBREUSES DE WALLONIE (FLW) d'autre part</w:t>
      </w:r>
      <w:r w:rsidRPr="009E486A">
        <w:rPr>
          <w:rFonts w:asciiTheme="minorHAnsi" w:hAnsiTheme="minorHAnsi" w:cs="Arial"/>
          <w:color w:val="000000"/>
          <w:sz w:val="22"/>
          <w:szCs w:val="22"/>
        </w:rPr>
        <w:t xml:space="preserve">, </w:t>
      </w:r>
      <w:r w:rsidR="00B1699D" w:rsidRPr="009E486A">
        <w:rPr>
          <w:rFonts w:asciiTheme="minorHAnsi" w:hAnsiTheme="minorHAnsi" w:cs="Arial"/>
          <w:color w:val="000000"/>
          <w:sz w:val="22"/>
          <w:szCs w:val="22"/>
        </w:rPr>
        <w:t>pour la modification de la voirie communale dans le chef des sentiers n°35 &amp; 36 de Sars-la-Buissière.</w:t>
      </w:r>
    </w:p>
    <w:p w14:paraId="2F424E70" w14:textId="67F3F63A" w:rsidR="00B1699D" w:rsidRPr="009E486A" w:rsidRDefault="00F978DA"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Style w:val="lev"/>
          <w:rFonts w:asciiTheme="minorHAnsi" w:hAnsiTheme="minorHAnsi" w:cs="Arial"/>
          <w:b w:val="0"/>
          <w:bCs w:val="0"/>
          <w:color w:val="000000"/>
          <w:sz w:val="22"/>
          <w:szCs w:val="22"/>
        </w:rPr>
        <w:t>P</w:t>
      </w:r>
      <w:r w:rsidR="00B1699D" w:rsidRPr="009E486A">
        <w:rPr>
          <w:rStyle w:val="lev"/>
          <w:rFonts w:asciiTheme="minorHAnsi" w:hAnsiTheme="minorHAnsi" w:cs="Arial"/>
          <w:b w:val="0"/>
          <w:bCs w:val="0"/>
          <w:color w:val="000000"/>
          <w:sz w:val="22"/>
          <w:szCs w:val="22"/>
        </w:rPr>
        <w:t xml:space="preserve">rise </w:t>
      </w:r>
      <w:r w:rsidR="00B1699D" w:rsidRPr="009E486A">
        <w:rPr>
          <w:rFonts w:asciiTheme="minorHAnsi" w:hAnsiTheme="minorHAnsi" w:cs="Arial"/>
          <w:color w:val="000000"/>
          <w:sz w:val="22"/>
          <w:szCs w:val="22"/>
        </w:rPr>
        <w:t>de connaissance des résultats de l'enquête publique portée à l'attention de la population l'enquête publique durant la période du 18 mai 2026 au 16 juin 2026 et qu'aucune remarque n'a été émise.</w:t>
      </w:r>
    </w:p>
    <w:p w14:paraId="1DC7DB28" w14:textId="34177B8F" w:rsidR="00B1699D" w:rsidRPr="009E486A" w:rsidRDefault="00F978DA"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Style w:val="lev"/>
          <w:rFonts w:asciiTheme="minorHAnsi" w:hAnsiTheme="minorHAnsi" w:cs="Arial"/>
          <w:b w:val="0"/>
          <w:bCs w:val="0"/>
          <w:color w:val="000000"/>
          <w:sz w:val="22"/>
          <w:szCs w:val="22"/>
        </w:rPr>
        <w:t>L’</w:t>
      </w:r>
      <w:r w:rsidR="00B1699D" w:rsidRPr="009E486A">
        <w:rPr>
          <w:rFonts w:asciiTheme="minorHAnsi" w:hAnsiTheme="minorHAnsi" w:cs="Arial"/>
          <w:color w:val="000000"/>
          <w:sz w:val="22"/>
          <w:szCs w:val="22"/>
        </w:rPr>
        <w:t>appro</w:t>
      </w:r>
      <w:r w:rsidRPr="009E486A">
        <w:rPr>
          <w:rFonts w:asciiTheme="minorHAnsi" w:hAnsiTheme="minorHAnsi" w:cs="Arial"/>
          <w:color w:val="000000"/>
          <w:sz w:val="22"/>
          <w:szCs w:val="22"/>
        </w:rPr>
        <w:t xml:space="preserve">bation </w:t>
      </w:r>
      <w:r w:rsidR="00B1699D" w:rsidRPr="009E486A">
        <w:rPr>
          <w:rFonts w:asciiTheme="minorHAnsi" w:hAnsiTheme="minorHAnsi" w:cs="Arial"/>
          <w:color w:val="000000"/>
          <w:sz w:val="22"/>
          <w:szCs w:val="22"/>
        </w:rPr>
        <w:t>la demande de modification des tracés théoriques des sentiers n°34 &amp; 36 repris à l'Atlas des Chemins de Sars-la-Buissière situés sur les propriétés respectives de Madame CHRETIEN &amp; Monsieur BERNARD d'une part et de la SCRL FONDS DU LOGEMENT DES FAMILLES NOMBREUSES DE WALLONIE (FLW) et d'officialis</w:t>
      </w:r>
      <w:r w:rsidR="00973565" w:rsidRPr="009E486A">
        <w:rPr>
          <w:rFonts w:asciiTheme="minorHAnsi" w:hAnsiTheme="minorHAnsi" w:cs="Arial"/>
          <w:color w:val="000000"/>
          <w:sz w:val="22"/>
          <w:szCs w:val="22"/>
        </w:rPr>
        <w:t>ation d</w:t>
      </w:r>
      <w:r w:rsidR="00B1699D" w:rsidRPr="009E486A">
        <w:rPr>
          <w:rFonts w:asciiTheme="minorHAnsi" w:hAnsiTheme="minorHAnsi" w:cs="Arial"/>
          <w:color w:val="000000"/>
          <w:sz w:val="22"/>
          <w:szCs w:val="22"/>
        </w:rPr>
        <w:t>es cheminements des servitudes publiques conformément à l'usage en vigueur depuis des décennies.</w:t>
      </w:r>
    </w:p>
    <w:p w14:paraId="25A9AD44" w14:textId="77777777" w:rsidR="00381E58" w:rsidRPr="009E486A" w:rsidRDefault="00381E58" w:rsidP="00DE0128">
      <w:pPr>
        <w:tabs>
          <w:tab w:val="left" w:pos="2142"/>
        </w:tabs>
        <w:spacing w:before="119" w:after="120"/>
        <w:jc w:val="both"/>
        <w:rPr>
          <w:rFonts w:asciiTheme="minorHAnsi" w:hAnsiTheme="minorHAnsi"/>
          <w:b/>
          <w:bCs/>
          <w:lang w:val="fr-FR"/>
        </w:rPr>
      </w:pPr>
    </w:p>
    <w:p w14:paraId="13CBBFD3" w14:textId="3CFBD61B"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Logement — Mandat de gestion d’immeuble avec le Fonds du Logement des familles nombreuses de Wallonie — Rue des Écoles 39 à Lobbes — Approbation — Vote</w:t>
      </w:r>
    </w:p>
    <w:p w14:paraId="5F7B8C5D" w14:textId="31986CD1"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21C4BFB4" w14:textId="77777777" w:rsidR="00381E58" w:rsidRPr="009E486A" w:rsidRDefault="00381E58"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5F792BB9" w14:textId="3AB0215E" w:rsidR="00F97B43" w:rsidRPr="009E486A" w:rsidRDefault="00F97B43"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wallon de l’Habitation durable.</w:t>
      </w:r>
    </w:p>
    <w:p w14:paraId="468F3053" w14:textId="76901927" w:rsidR="00F97B43" w:rsidRPr="009E486A" w:rsidRDefault="00F97B43"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déclaration de politique du logement approuvée par le Conseil communal en séance du 23 décembre 2019.</w:t>
      </w:r>
    </w:p>
    <w:p w14:paraId="7E3DAB01" w14:textId="3461EF67" w:rsidR="00F97B43" w:rsidRPr="009E486A" w:rsidRDefault="00F97B43"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loi du 20 février 1991, telle que modifiée à ce jour, sur les baux à loyer.</w:t>
      </w:r>
    </w:p>
    <w:p w14:paraId="2199A974" w14:textId="77777777" w:rsidR="00381E58" w:rsidRPr="009E486A" w:rsidRDefault="00381E58"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33FFE0AE" w14:textId="663E92FA" w:rsidR="00381E58" w:rsidRPr="009E486A" w:rsidRDefault="00F97B43"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 conclusion avec le Fonds du logement des Familles nombreuses de Wallonie d’un mandat de gestion pour le logement sis rue des Écoles 39 à Lobbes aux conditions reprises dans le mandat de gestion annexé à la délibération.</w:t>
      </w:r>
    </w:p>
    <w:p w14:paraId="5ED56D6C" w14:textId="77777777" w:rsidR="00F97B43" w:rsidRPr="009E486A" w:rsidRDefault="00F97B43" w:rsidP="00DE0128">
      <w:pPr>
        <w:tabs>
          <w:tab w:val="left" w:pos="2142"/>
        </w:tabs>
        <w:spacing w:before="119" w:after="120"/>
        <w:jc w:val="both"/>
        <w:rPr>
          <w:rFonts w:asciiTheme="minorHAnsi" w:hAnsiTheme="minorHAnsi"/>
          <w:b/>
          <w:bCs/>
        </w:rPr>
      </w:pPr>
    </w:p>
    <w:p w14:paraId="0A8AB881" w14:textId="49AD4AA4"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Logement — Mandats de gestion d’immeuble avec le Fonds du Logement des familles nombreuses de Wallonie — Rue de l’Entreville 85/1, 85/2, 85/3, 85/4 et 85/5 à Lobbes — Approbation — Vote</w:t>
      </w:r>
    </w:p>
    <w:p w14:paraId="50F85235" w14:textId="38D9E33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04C7D512" w14:textId="77777777" w:rsidR="00961C2F" w:rsidRPr="009E486A" w:rsidRDefault="00961C2F"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0145D40E" w14:textId="77777777" w:rsidR="00961C2F" w:rsidRPr="009E486A" w:rsidRDefault="00961C2F"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wallon de l’Habitation durable.</w:t>
      </w:r>
    </w:p>
    <w:p w14:paraId="6EE4DF9F" w14:textId="77777777" w:rsidR="00961C2F" w:rsidRPr="009E486A" w:rsidRDefault="00961C2F"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lastRenderedPageBreak/>
        <w:t>La déclaration de politique du logement approuvée par le Conseil communal en séance du 23 décembre 2019.</w:t>
      </w:r>
    </w:p>
    <w:p w14:paraId="6176A14F" w14:textId="2E4F5548" w:rsidR="0095321B" w:rsidRPr="009E486A" w:rsidRDefault="00961C2F"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 loi du 20 février 1991, telle que modifiée à ce jour, sur les baux à loyer.</w:t>
      </w:r>
    </w:p>
    <w:p w14:paraId="1F172D51"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28651A43" w14:textId="316E10FC" w:rsidR="0095321B" w:rsidRPr="009E486A" w:rsidRDefault="002A04A6"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 xml:space="preserve">L’approbation du renouvellement du mandat de gestion conclu avec le Fonds du logement des familles nombreuses de Wallonie, pour chacun des cinq logements aménagés dans le bâtiment sis rue de l'Entreville 85 à 6540 Lobbes et aux mêmes conditions reprises dans les mandats de gestion </w:t>
      </w:r>
      <w:r w:rsidR="00834810" w:rsidRPr="009E486A">
        <w:rPr>
          <w:rFonts w:asciiTheme="minorHAnsi" w:hAnsiTheme="minorHAnsi" w:cs="Arial"/>
          <w:color w:val="000000"/>
          <w:sz w:val="22"/>
          <w:szCs w:val="22"/>
          <w:shd w:val="clear" w:color="auto" w:fill="FFFFFF"/>
        </w:rPr>
        <w:t>annexés à la délibération.</w:t>
      </w:r>
    </w:p>
    <w:p w14:paraId="7CB4926C" w14:textId="77777777" w:rsidR="00834810" w:rsidRPr="009E486A" w:rsidRDefault="00834810" w:rsidP="00DE0128">
      <w:pPr>
        <w:tabs>
          <w:tab w:val="left" w:pos="2142"/>
        </w:tabs>
        <w:spacing w:before="119" w:after="120"/>
        <w:jc w:val="both"/>
        <w:rPr>
          <w:rFonts w:asciiTheme="minorHAnsi" w:hAnsiTheme="minorHAnsi"/>
          <w:b/>
          <w:bCs/>
        </w:rPr>
      </w:pPr>
    </w:p>
    <w:p w14:paraId="06D4DED8" w14:textId="040DFEB1"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Service Affaires générales — Convention de partenariat avec l'Asbl " Les Territoires de la Mémoire " — Renouvellement pour la période 2027-2031 — Décision</w:t>
      </w:r>
    </w:p>
    <w:p w14:paraId="4B64081F" w14:textId="064FADC9"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61A3F7B7" w14:textId="77777777" w:rsidR="00834810" w:rsidRPr="009E486A" w:rsidRDefault="00834810"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29 juillet 1991 relative à la motivation formelle des actes administratifs.</w:t>
      </w:r>
    </w:p>
    <w:p w14:paraId="74BD50E5" w14:textId="0E1CAF66" w:rsidR="00834810" w:rsidRPr="009E486A" w:rsidRDefault="00834810"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(CDLD) et notamment son article L1122-30.</w:t>
      </w:r>
    </w:p>
    <w:p w14:paraId="579868E6" w14:textId="63254E5D" w:rsidR="0095321B" w:rsidRPr="009E486A" w:rsidRDefault="00834810"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L'article L1124-40. §1er. 4° du CDLD, qui prévoit la remise, en toute indépendance et d'initiative, d'un avis de légalité écrit, préalable et motivé sur tout projet de décision du Conseil ou du Collège ayant une incidence financière ou budgétaire (égale ou inférieure à 30.000 €) ;</w:t>
      </w:r>
    </w:p>
    <w:p w14:paraId="0CFD1F04"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3CC8F28E" w14:textId="36F4A9DD" w:rsidR="0095321B" w:rsidRPr="009E486A" w:rsidRDefault="00826DC6"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renouvellement de la convention de partenariat entre la commune de Lobbes et l'Asbl " Les Territoires de la Mémoire " pour la période 2027-2031.</w:t>
      </w:r>
    </w:p>
    <w:p w14:paraId="029BCE8B" w14:textId="77777777" w:rsidR="00826DC6" w:rsidRPr="009E486A" w:rsidRDefault="00826DC6" w:rsidP="00DE0128">
      <w:pPr>
        <w:tabs>
          <w:tab w:val="left" w:pos="2142"/>
        </w:tabs>
        <w:spacing w:before="119" w:after="120"/>
        <w:jc w:val="both"/>
        <w:rPr>
          <w:rFonts w:asciiTheme="minorHAnsi" w:hAnsiTheme="minorHAnsi"/>
          <w:b/>
          <w:bCs/>
        </w:rPr>
      </w:pPr>
    </w:p>
    <w:p w14:paraId="2F75BDDD" w14:textId="749021C7"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t xml:space="preserve">Service Enseignement — Convention relative aux modalités de collaboration avec la Province du Hainaut, par l'intermédiaire de son opérateur d'appui et de son opérateur itinérant — Organisation de haltes du bibliobus à destination du public scolaire — Approbation. </w:t>
      </w:r>
    </w:p>
    <w:p w14:paraId="2D27F764"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7711F23B" w14:textId="77777777" w:rsidR="00F22958" w:rsidRPr="009E486A" w:rsidRDefault="0095321B"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23E37468" w14:textId="0F53175C" w:rsidR="00F22958" w:rsidRPr="009E486A" w:rsidRDefault="00F22958"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Décret du 30 avril 2009 relatif au développement des pratiques de lecture organisé par le Réseau public de la Lecture et des Bibliothèques publiques, tel que modifié en 2004 et plus particulièrement son article 6, chapitre 2 : " </w:t>
      </w:r>
      <w:r w:rsidRPr="009E486A">
        <w:rPr>
          <w:rStyle w:val="Accentuation"/>
          <w:rFonts w:asciiTheme="minorHAnsi" w:hAnsiTheme="minorHAnsi" w:cs="Arial"/>
          <w:color w:val="000000"/>
          <w:sz w:val="22"/>
          <w:szCs w:val="22"/>
        </w:rPr>
        <w:t>Les modalités de collaboration entre l'opérateur itinérant et les opérateurs directs, les opérateurs d'appui ou les pouvoirs organisateurs partenaires sont fixées dans une convention conclue entre eux dans le respect du présent décret. Le Gouvernement précise les éléments qui, au minimum, doivent y figurer</w:t>
      </w:r>
      <w:r w:rsidRPr="009E486A">
        <w:rPr>
          <w:rFonts w:asciiTheme="minorHAnsi" w:hAnsiTheme="minorHAnsi" w:cs="Arial"/>
          <w:color w:val="000000"/>
          <w:sz w:val="22"/>
          <w:szCs w:val="22"/>
        </w:rPr>
        <w:t>."  </w:t>
      </w:r>
    </w:p>
    <w:p w14:paraId="67F5890E" w14:textId="2C9C194E" w:rsidR="00F22958" w:rsidRPr="009E486A" w:rsidRDefault="00514B26"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w:t>
      </w:r>
      <w:r w:rsidR="00F22958" w:rsidRPr="009E486A">
        <w:rPr>
          <w:rFonts w:asciiTheme="minorHAnsi" w:hAnsiTheme="minorHAnsi" w:cs="Arial"/>
          <w:color w:val="000000"/>
          <w:sz w:val="22"/>
          <w:szCs w:val="22"/>
        </w:rPr>
        <w:t>'Arrêté du Gouvernement de la Communauté française du 19 juillet 2011 portant sur l'application du Décret précité</w:t>
      </w:r>
      <w:r w:rsidRPr="009E486A">
        <w:rPr>
          <w:rFonts w:asciiTheme="minorHAnsi" w:hAnsiTheme="minorHAnsi" w:cs="Arial"/>
          <w:color w:val="000000"/>
          <w:sz w:val="22"/>
          <w:szCs w:val="22"/>
        </w:rPr>
        <w:t>.</w:t>
      </w:r>
    </w:p>
    <w:p w14:paraId="462A31C7"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1E4913FA" w14:textId="371BA444" w:rsidR="0095321B" w:rsidRDefault="00514B26"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L’approbation de la convention réglant les modalités de collaboration en matière de développement territorial des politiques de lecture publique entre la Province de Hainaut et les Pouvoirs Organisateurs concernés.</w:t>
      </w:r>
    </w:p>
    <w:p w14:paraId="575FFAF4" w14:textId="77777777" w:rsidR="00DE0128" w:rsidRDefault="00DE0128" w:rsidP="00DE0128">
      <w:pPr>
        <w:tabs>
          <w:tab w:val="left" w:pos="2142"/>
        </w:tabs>
        <w:spacing w:before="119" w:after="120"/>
        <w:jc w:val="both"/>
        <w:rPr>
          <w:rFonts w:asciiTheme="minorHAnsi" w:hAnsiTheme="minorHAnsi" w:cs="Arial"/>
          <w:color w:val="000000"/>
          <w:sz w:val="22"/>
          <w:szCs w:val="22"/>
          <w:shd w:val="clear" w:color="auto" w:fill="FFFFFF"/>
        </w:rPr>
      </w:pPr>
    </w:p>
    <w:p w14:paraId="51ACFEF6" w14:textId="77777777" w:rsidR="00DE0128" w:rsidRPr="009E486A" w:rsidRDefault="00DE0128" w:rsidP="00DE0128">
      <w:pPr>
        <w:tabs>
          <w:tab w:val="left" w:pos="2142"/>
        </w:tabs>
        <w:spacing w:before="119" w:after="120"/>
        <w:jc w:val="both"/>
        <w:rPr>
          <w:rFonts w:asciiTheme="minorHAnsi" w:hAnsiTheme="minorHAnsi"/>
          <w:b/>
          <w:bCs/>
        </w:rPr>
      </w:pPr>
    </w:p>
    <w:p w14:paraId="5301A65E" w14:textId="399B8910" w:rsidR="00E354A0" w:rsidRPr="009E486A" w:rsidRDefault="00DB1BB5" w:rsidP="00DE0128">
      <w:pPr>
        <w:pStyle w:val="Paragraphedeliste"/>
        <w:numPr>
          <w:ilvl w:val="0"/>
          <w:numId w:val="4"/>
        </w:numPr>
        <w:tabs>
          <w:tab w:val="left" w:pos="2142"/>
        </w:tabs>
        <w:spacing w:before="119" w:after="120"/>
        <w:jc w:val="both"/>
        <w:rPr>
          <w:rFonts w:asciiTheme="minorHAnsi" w:hAnsiTheme="minorHAnsi"/>
          <w:b/>
          <w:bCs/>
        </w:rPr>
      </w:pPr>
      <w:r w:rsidRPr="009E486A">
        <w:rPr>
          <w:rFonts w:asciiTheme="minorHAnsi" w:hAnsiTheme="minorHAnsi"/>
          <w:b/>
          <w:bCs/>
        </w:rPr>
        <w:lastRenderedPageBreak/>
        <w:t xml:space="preserve">Service des Affaires générales — Fonctionnement institutionnel — Séance du Conseil communal — Procès-verbal de la séance du 26 mai 2026 — Approbation </w:t>
      </w:r>
    </w:p>
    <w:p w14:paraId="3B424A18"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5EB2A6EC" w14:textId="77777777" w:rsidR="00514B26" w:rsidRPr="009E486A" w:rsidRDefault="00514B26"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Code de la Démocratie locale et de la Décentralisation, particulièrement, les articles L1132-1 et L1132-2.</w:t>
      </w:r>
    </w:p>
    <w:p w14:paraId="06BA9610" w14:textId="77777777" w:rsidR="00514B26" w:rsidRPr="009E486A" w:rsidRDefault="00514B26"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Le Règlement d'ordre intérieur du Conseil communal adopté le 20 février 2020, </w:t>
      </w:r>
      <w:r w:rsidRPr="009E486A">
        <w:rPr>
          <w:rStyle w:val="Accentuation"/>
          <w:rFonts w:asciiTheme="minorHAnsi" w:hAnsiTheme="minorHAnsi" w:cs="Arial"/>
          <w:b/>
          <w:bCs/>
          <w:color w:val="000000"/>
          <w:sz w:val="22"/>
          <w:szCs w:val="22"/>
        </w:rPr>
        <w:t>Section 16 L'approbation du procès-verbal des réunions du Conseil communal</w:t>
      </w:r>
      <w:r w:rsidRPr="009E486A">
        <w:rPr>
          <w:rFonts w:asciiTheme="minorHAnsi" w:hAnsiTheme="minorHAnsi" w:cs="Arial"/>
          <w:color w:val="000000"/>
          <w:sz w:val="22"/>
          <w:szCs w:val="22"/>
        </w:rPr>
        <w:t>, les articles 48 et 49.</w:t>
      </w:r>
    </w:p>
    <w:p w14:paraId="1F14F43D" w14:textId="77777777" w:rsidR="00514B26" w:rsidRPr="009E486A" w:rsidRDefault="00514B26" w:rsidP="00DE0128">
      <w:pPr>
        <w:tabs>
          <w:tab w:val="left" w:pos="2142"/>
        </w:tabs>
        <w:spacing w:before="119" w:after="120"/>
        <w:jc w:val="both"/>
        <w:rPr>
          <w:rFonts w:asciiTheme="minorHAnsi" w:hAnsiTheme="minorHAnsi" w:cs="Arial"/>
          <w:color w:val="000000"/>
          <w:sz w:val="22"/>
          <w:szCs w:val="22"/>
          <w:u w:val="single"/>
          <w:shd w:val="clear" w:color="auto" w:fill="FFFFFF"/>
        </w:rPr>
      </w:pPr>
      <w:r w:rsidRPr="009E486A">
        <w:rPr>
          <w:rFonts w:asciiTheme="minorHAnsi" w:hAnsiTheme="minorHAnsi" w:cs="Arial"/>
          <w:color w:val="000000"/>
          <w:sz w:val="22"/>
          <w:szCs w:val="22"/>
          <w:u w:val="single"/>
          <w:shd w:val="clear" w:color="auto" w:fill="FFFFFF"/>
        </w:rPr>
        <w:t>Motivation :</w:t>
      </w:r>
    </w:p>
    <w:p w14:paraId="01EA9C15" w14:textId="4D18FA2D" w:rsidR="00514B26" w:rsidRPr="009E486A" w:rsidRDefault="00514B26"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Approbation du procès-verbal de la séance du Conseil communal du 26 mai 2026.</w:t>
      </w:r>
    </w:p>
    <w:p w14:paraId="1C8FF1B5" w14:textId="77777777" w:rsidR="0095321B" w:rsidRPr="009E486A" w:rsidRDefault="0095321B" w:rsidP="00DE0128">
      <w:pPr>
        <w:tabs>
          <w:tab w:val="left" w:pos="2142"/>
        </w:tabs>
        <w:spacing w:before="119" w:after="120"/>
        <w:jc w:val="both"/>
        <w:rPr>
          <w:rFonts w:asciiTheme="minorHAnsi" w:hAnsiTheme="minorHAnsi"/>
          <w:b/>
          <w:bCs/>
        </w:rPr>
      </w:pPr>
    </w:p>
    <w:p w14:paraId="01585140" w14:textId="77777777" w:rsidR="00E354A0" w:rsidRPr="009E486A" w:rsidRDefault="00DB1BB5" w:rsidP="00DE0128">
      <w:pPr>
        <w:tabs>
          <w:tab w:val="left" w:pos="2142"/>
        </w:tabs>
        <w:spacing w:before="119" w:after="120"/>
        <w:ind w:left="426" w:hanging="426"/>
        <w:jc w:val="both"/>
        <w:rPr>
          <w:rFonts w:asciiTheme="minorHAnsi" w:hAnsiTheme="minorHAnsi"/>
          <w:b/>
          <w:bCs/>
        </w:rPr>
      </w:pPr>
      <w:r w:rsidRPr="009E486A">
        <w:rPr>
          <w:rFonts w:asciiTheme="minorHAnsi" w:hAnsiTheme="minorHAnsi"/>
          <w:b/>
          <w:bCs/>
        </w:rPr>
        <w:t>15. Services des Affaires générales — Fonctionnement institutionnel — Questions orales et écrites d'actualité au Collège communal</w:t>
      </w:r>
    </w:p>
    <w:p w14:paraId="3431A359" w14:textId="1A856C6A" w:rsidR="00E354A0" w:rsidRPr="009E486A" w:rsidRDefault="00DB1BB5" w:rsidP="00DE0128">
      <w:pPr>
        <w:tabs>
          <w:tab w:val="left" w:pos="1575"/>
        </w:tabs>
        <w:spacing w:after="120"/>
        <w:jc w:val="both"/>
        <w:rPr>
          <w:rFonts w:asciiTheme="minorHAnsi" w:eastAsia="Arial Unicode MS" w:hAnsiTheme="minorHAnsi" w:cs="Arial Unicode MS"/>
          <w:b/>
          <w:u w:val="single"/>
        </w:rPr>
      </w:pPr>
      <w:r w:rsidRPr="009E486A">
        <w:rPr>
          <w:rFonts w:asciiTheme="minorHAnsi" w:eastAsia="Arial Unicode MS" w:hAnsiTheme="minorHAnsi" w:cs="Arial Unicode MS"/>
          <w:b/>
          <w:u w:val="single"/>
        </w:rPr>
        <w:t>Huis clos</w:t>
      </w:r>
    </w:p>
    <w:p w14:paraId="6F544F6B" w14:textId="69E7A53B" w:rsidR="00E354A0" w:rsidRPr="009E486A" w:rsidRDefault="00DB1BB5" w:rsidP="00DE0128">
      <w:pPr>
        <w:pStyle w:val="Paragraphedeliste"/>
        <w:numPr>
          <w:ilvl w:val="0"/>
          <w:numId w:val="7"/>
        </w:numPr>
        <w:tabs>
          <w:tab w:val="left" w:pos="2142"/>
        </w:tabs>
        <w:spacing w:before="119" w:after="120"/>
        <w:jc w:val="both"/>
        <w:rPr>
          <w:rFonts w:asciiTheme="minorHAnsi" w:hAnsiTheme="minorHAnsi"/>
          <w:b/>
          <w:bCs/>
        </w:rPr>
      </w:pPr>
      <w:r w:rsidRPr="009E486A">
        <w:rPr>
          <w:rFonts w:asciiTheme="minorHAnsi" w:hAnsiTheme="minorHAnsi"/>
          <w:b/>
          <w:bCs/>
        </w:rPr>
        <w:t>Service Enseignement — Personnel enseignant — Congé pour mission pédagogique auprès du CECP — Renouvellement — Directrice — Accord de principe — Ratification — Vote</w:t>
      </w:r>
    </w:p>
    <w:p w14:paraId="5A5D867F"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50FD9CA3" w14:textId="77777777" w:rsidR="0095321B" w:rsidRPr="009E486A" w:rsidRDefault="0095321B"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2C6F05A3" w14:textId="3599D52A" w:rsidR="0095321B" w:rsidRPr="009E486A" w:rsidRDefault="00514B26" w:rsidP="00DE0128">
      <w:pPr>
        <w:tabs>
          <w:tab w:val="left" w:pos="2142"/>
        </w:tabs>
        <w:spacing w:before="119" w:after="120"/>
        <w:jc w:val="both"/>
        <w:rPr>
          <w:rFonts w:asciiTheme="minorHAnsi" w:hAnsiTheme="minorHAnsi"/>
          <w:u w:val="single"/>
          <w:lang w:val="fr-FR"/>
        </w:rPr>
      </w:pPr>
      <w:r w:rsidRPr="009E486A">
        <w:rPr>
          <w:rFonts w:asciiTheme="minorHAnsi" w:hAnsiTheme="minorHAnsi" w:cs="Arial"/>
          <w:color w:val="000000"/>
          <w:sz w:val="22"/>
          <w:szCs w:val="22"/>
          <w:shd w:val="clear" w:color="auto" w:fill="FFFFFF"/>
        </w:rPr>
        <w:t>Le Décret du 6 juin 1994 fixant le statut des membres du personnel subsidiés de l'enseignement officiel subventionné, notamment, l'article 27bis.</w:t>
      </w:r>
    </w:p>
    <w:p w14:paraId="3A3811B0"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5BE0435F" w14:textId="23ABA37C" w:rsidR="0095321B" w:rsidRPr="009E486A" w:rsidRDefault="00534849"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 ratification de la délibération du Collège communal du 13/05/26, point n°8, par laquelle le renouvellement du congé pour mission de Madame Sophie François, directrice nommée à titre définitif de l'école fondamentale de Mont-Sars, auprès du CECP, est accordé pour l'année scolaire 2026-2027, soit du 24 août 2026 au 22 août 2027.</w:t>
      </w:r>
    </w:p>
    <w:p w14:paraId="73AF022A" w14:textId="77777777" w:rsidR="00534849" w:rsidRPr="009E486A" w:rsidRDefault="00534849" w:rsidP="00DE0128">
      <w:pPr>
        <w:tabs>
          <w:tab w:val="left" w:pos="2142"/>
        </w:tabs>
        <w:spacing w:before="119" w:after="120"/>
        <w:jc w:val="both"/>
        <w:rPr>
          <w:rFonts w:asciiTheme="minorHAnsi" w:hAnsiTheme="minorHAnsi"/>
          <w:b/>
          <w:bCs/>
        </w:rPr>
      </w:pPr>
    </w:p>
    <w:p w14:paraId="1077A928" w14:textId="2F4402A4" w:rsidR="00E354A0" w:rsidRPr="009E486A" w:rsidRDefault="00DB1BB5" w:rsidP="00DE0128">
      <w:pPr>
        <w:pStyle w:val="Paragraphedeliste"/>
        <w:numPr>
          <w:ilvl w:val="0"/>
          <w:numId w:val="7"/>
        </w:numPr>
        <w:tabs>
          <w:tab w:val="left" w:pos="2142"/>
        </w:tabs>
        <w:spacing w:before="119" w:after="120"/>
        <w:jc w:val="both"/>
        <w:rPr>
          <w:rFonts w:asciiTheme="minorHAnsi" w:hAnsiTheme="minorHAnsi"/>
          <w:b/>
          <w:bCs/>
        </w:rPr>
      </w:pPr>
      <w:r w:rsidRPr="009E486A">
        <w:rPr>
          <w:rFonts w:asciiTheme="minorHAnsi" w:hAnsiTheme="minorHAnsi"/>
          <w:b/>
          <w:bCs/>
        </w:rPr>
        <w:t>Service Enseignement — Personnel enseignant — École fondamentale de Mont-Sars — Section maternelle — Remplacement — Désignation à titre temporaire d'une institutrice préscolaire en remplacement d'une institutrice maternelle en congé de maladie — Ratification — Vote</w:t>
      </w:r>
    </w:p>
    <w:p w14:paraId="7EFADCB3"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78F1AD19" w14:textId="77777777" w:rsidR="0095321B" w:rsidRPr="009E486A" w:rsidRDefault="0095321B"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4FB286DA" w14:textId="77777777" w:rsidR="00534849" w:rsidRPr="009E486A" w:rsidRDefault="00534849" w:rsidP="00DE0128">
      <w:pPr>
        <w:tabs>
          <w:tab w:val="left" w:pos="2142"/>
        </w:tabs>
        <w:spacing w:before="119" w:after="120"/>
        <w:jc w:val="both"/>
        <w:rPr>
          <w:rFonts w:asciiTheme="minorHAnsi" w:hAnsiTheme="minorHAnsi"/>
          <w:u w:val="single"/>
          <w:lang w:val="fr-FR"/>
        </w:rPr>
      </w:pPr>
      <w:r w:rsidRPr="009E486A">
        <w:rPr>
          <w:rFonts w:asciiTheme="minorHAnsi" w:hAnsiTheme="minorHAnsi" w:cs="Arial"/>
          <w:color w:val="000000"/>
          <w:sz w:val="22"/>
          <w:szCs w:val="22"/>
          <w:shd w:val="clear" w:color="auto" w:fill="FFFFFF"/>
        </w:rPr>
        <w:t>Le Décret du 6 juin 1994 fixant le statut des membres du personnel subsidiés de l'enseignement officiel subventionné, notamment, l'article 27bis.</w:t>
      </w:r>
    </w:p>
    <w:p w14:paraId="5EB9A007"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10B29D2A" w14:textId="4DBEB766" w:rsidR="0095321B" w:rsidRPr="009E486A" w:rsidRDefault="00534849"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 ratification de la délibération du Collège communal du 07/05/26, point n°35, par laquelle Madame </w:t>
      </w:r>
      <w:r w:rsidRPr="009E486A">
        <w:rPr>
          <w:rStyle w:val="lev"/>
          <w:rFonts w:asciiTheme="minorHAnsi" w:hAnsiTheme="minorHAnsi" w:cs="Arial"/>
          <w:color w:val="000000"/>
          <w:sz w:val="22"/>
          <w:szCs w:val="22"/>
          <w:shd w:val="clear" w:color="auto" w:fill="FFFFFF"/>
        </w:rPr>
        <w:t>Elise Rassart</w:t>
      </w:r>
      <w:r w:rsidRPr="009E486A">
        <w:rPr>
          <w:rFonts w:asciiTheme="minorHAnsi" w:hAnsiTheme="minorHAnsi" w:cs="Arial"/>
          <w:color w:val="000000"/>
          <w:sz w:val="22"/>
          <w:szCs w:val="22"/>
          <w:shd w:val="clear" w:color="auto" w:fill="FFFFFF"/>
        </w:rPr>
        <w:t>, née le 17 octobre 1990 à La Louvière, domiciliée Grand Place 24/0001 à 7070 Le Roeulx, titulaire du diplôme de bachelier : institutrice primaire, délivré par la Haute École de la Communauté française en Hainaut de Mons en juin 2013, est désignée pour prester 26 périodes du 11 mai 2026 jusqu'au retour de la titulaire, et au plus tard le 3 juillet 2026, en classe transversale de maternelle, en titre suffisant, en remplacement de Madame Françoise Culot, en congé de maladie suite à un accident du travail du 21 avril 2026 au 14 juin 2026, à l'école de Mont-Sars, implantation de Mont-Sainte-Geneviève, sous réserve d'obtenir un certificat médical de reprise du médecin de Mme Rassart.</w:t>
      </w:r>
    </w:p>
    <w:p w14:paraId="0D05FBF8" w14:textId="77777777" w:rsidR="00973565" w:rsidRPr="009E486A" w:rsidRDefault="00973565" w:rsidP="00DE0128">
      <w:pPr>
        <w:tabs>
          <w:tab w:val="left" w:pos="2142"/>
        </w:tabs>
        <w:spacing w:before="119" w:after="120"/>
        <w:jc w:val="both"/>
        <w:rPr>
          <w:rFonts w:asciiTheme="minorHAnsi" w:hAnsiTheme="minorHAnsi"/>
          <w:b/>
          <w:bCs/>
        </w:rPr>
      </w:pPr>
    </w:p>
    <w:p w14:paraId="59A12757" w14:textId="5836A9C0" w:rsidR="00E354A0" w:rsidRPr="009E486A" w:rsidRDefault="00DB1BB5" w:rsidP="00DE0128">
      <w:pPr>
        <w:pStyle w:val="Paragraphedeliste"/>
        <w:numPr>
          <w:ilvl w:val="0"/>
          <w:numId w:val="7"/>
        </w:numPr>
        <w:tabs>
          <w:tab w:val="left" w:pos="2142"/>
        </w:tabs>
        <w:spacing w:before="119" w:after="120"/>
        <w:jc w:val="both"/>
        <w:rPr>
          <w:rFonts w:asciiTheme="minorHAnsi" w:hAnsiTheme="minorHAnsi"/>
          <w:b/>
          <w:bCs/>
        </w:rPr>
      </w:pPr>
      <w:r w:rsidRPr="009E486A">
        <w:rPr>
          <w:rFonts w:asciiTheme="minorHAnsi" w:hAnsiTheme="minorHAnsi"/>
          <w:b/>
          <w:bCs/>
        </w:rPr>
        <w:t>Service Ressources humaines — Personnel — Convention de stage — Académie des Métiers et des Professions Sociales — Pour approbation — Vote</w:t>
      </w:r>
    </w:p>
    <w:p w14:paraId="053D280D"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1636304D" w14:textId="77777777" w:rsidR="0095321B" w:rsidRPr="009E486A" w:rsidRDefault="0095321B"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0E45CBBB" w14:textId="747DED73" w:rsidR="00534849" w:rsidRPr="009E486A" w:rsidRDefault="00534849"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29 juillet 1991 relative à la motivation formelle des actes administratifs</w:t>
      </w:r>
      <w:r w:rsidR="00BC2E00" w:rsidRPr="009E486A">
        <w:rPr>
          <w:rFonts w:asciiTheme="minorHAnsi" w:hAnsiTheme="minorHAnsi" w:cs="Arial"/>
          <w:color w:val="000000"/>
          <w:sz w:val="22"/>
          <w:szCs w:val="22"/>
        </w:rPr>
        <w:t>.</w:t>
      </w:r>
    </w:p>
    <w:p w14:paraId="4D3B0EDB"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4D412BB5" w14:textId="16AC8CC9" w:rsidR="0095321B" w:rsidRPr="009E486A" w:rsidRDefault="00BC2E00"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L’approbation de la convention de stage à intervenir entre l'AMEPS et l'Administration communale de Lobbes en vue de l'accomplissement d'un stage au bénéfice de Madame Loana GODAUX.</w:t>
      </w:r>
    </w:p>
    <w:p w14:paraId="79B00FCE" w14:textId="77777777" w:rsidR="00BC2E00" w:rsidRPr="009E486A" w:rsidRDefault="00BC2E00" w:rsidP="00DE0128">
      <w:pPr>
        <w:tabs>
          <w:tab w:val="left" w:pos="2142"/>
        </w:tabs>
        <w:spacing w:before="119" w:after="120"/>
        <w:jc w:val="both"/>
        <w:rPr>
          <w:rFonts w:asciiTheme="minorHAnsi" w:hAnsiTheme="minorHAnsi"/>
          <w:b/>
          <w:bCs/>
        </w:rPr>
      </w:pPr>
    </w:p>
    <w:p w14:paraId="166F1D35" w14:textId="7C4B7FAC" w:rsidR="00E354A0" w:rsidRPr="009E486A" w:rsidRDefault="00DB1BB5" w:rsidP="00DE0128">
      <w:pPr>
        <w:pStyle w:val="Paragraphedeliste"/>
        <w:numPr>
          <w:ilvl w:val="0"/>
          <w:numId w:val="7"/>
        </w:numPr>
        <w:tabs>
          <w:tab w:val="left" w:pos="2142"/>
        </w:tabs>
        <w:spacing w:before="119" w:after="120"/>
        <w:jc w:val="both"/>
        <w:rPr>
          <w:rFonts w:asciiTheme="minorHAnsi" w:hAnsiTheme="minorHAnsi"/>
          <w:b/>
          <w:bCs/>
        </w:rPr>
      </w:pPr>
      <w:r w:rsidRPr="009E486A">
        <w:rPr>
          <w:rFonts w:asciiTheme="minorHAnsi" w:hAnsiTheme="minorHAnsi"/>
          <w:b/>
          <w:bCs/>
        </w:rPr>
        <w:t>Service Ressources humaines — Convention de stage au Centre de vacances — Etudiante à l'Académie des Métiers et des Professions Sociales — Pour approbation — Vote</w:t>
      </w:r>
    </w:p>
    <w:p w14:paraId="3009E040"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05ECB286" w14:textId="77777777" w:rsidR="0095321B" w:rsidRPr="009E486A" w:rsidRDefault="0095321B"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Le Code de la Démocratie Locale et de la Décentralisation et notamment son article L1122-30.</w:t>
      </w:r>
    </w:p>
    <w:p w14:paraId="657984D7" w14:textId="77777777" w:rsidR="00BC2E00" w:rsidRPr="009E486A" w:rsidRDefault="00BC2E00"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lang w:val="fr-BE"/>
        </w:rPr>
        <w:t>L</w:t>
      </w:r>
      <w:r w:rsidRPr="009E486A">
        <w:rPr>
          <w:rFonts w:asciiTheme="minorHAnsi" w:hAnsiTheme="minorHAnsi" w:cs="Arial"/>
          <w:color w:val="000000"/>
          <w:sz w:val="22"/>
          <w:szCs w:val="22"/>
        </w:rPr>
        <w:t>a loi du 29 juillet 1991 relative à la motivation formelle des actes administratifs.</w:t>
      </w:r>
    </w:p>
    <w:p w14:paraId="0612EF8C"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709E19AA" w14:textId="292E6B53" w:rsidR="0095321B" w:rsidRPr="009E486A" w:rsidRDefault="00BC2E00"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L’approbation de la convention de stage à intervenir entre l'AMEPS et l'Administration communale de Lobbes en vue de l'accomplissement d'un stage au bénéfice de Madame Cassandra MASLOWSKI. </w:t>
      </w:r>
    </w:p>
    <w:p w14:paraId="0E905170" w14:textId="77777777" w:rsidR="00BC2E00" w:rsidRPr="009E486A" w:rsidRDefault="00BC2E00" w:rsidP="00DE0128">
      <w:pPr>
        <w:tabs>
          <w:tab w:val="left" w:pos="2142"/>
        </w:tabs>
        <w:spacing w:before="119" w:after="120"/>
        <w:jc w:val="both"/>
        <w:rPr>
          <w:rFonts w:asciiTheme="minorHAnsi" w:hAnsiTheme="minorHAnsi"/>
          <w:b/>
          <w:bCs/>
        </w:rPr>
      </w:pPr>
    </w:p>
    <w:p w14:paraId="3FC0439C" w14:textId="54CDC978" w:rsidR="00E354A0" w:rsidRPr="009E486A" w:rsidRDefault="00DB1BB5" w:rsidP="00DE0128">
      <w:pPr>
        <w:pStyle w:val="Paragraphedeliste"/>
        <w:numPr>
          <w:ilvl w:val="0"/>
          <w:numId w:val="7"/>
        </w:numPr>
        <w:tabs>
          <w:tab w:val="left" w:pos="2142"/>
        </w:tabs>
        <w:spacing w:before="119" w:after="120"/>
        <w:jc w:val="both"/>
        <w:rPr>
          <w:rFonts w:asciiTheme="minorHAnsi" w:hAnsiTheme="minorHAnsi"/>
          <w:b/>
          <w:bCs/>
        </w:rPr>
      </w:pPr>
      <w:r w:rsidRPr="009E486A">
        <w:rPr>
          <w:rFonts w:asciiTheme="minorHAnsi" w:hAnsiTheme="minorHAnsi"/>
          <w:b/>
          <w:bCs/>
        </w:rPr>
        <w:t>Service Ressources humaines — Personnel communal — Agents communaux contractuels — Recrutements, modifications de contrats, fins de contrats — Pour information</w:t>
      </w:r>
    </w:p>
    <w:p w14:paraId="13BDD445"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Bases légales :</w:t>
      </w:r>
    </w:p>
    <w:p w14:paraId="306F7E66" w14:textId="52A70F13" w:rsidR="00A6173C" w:rsidRPr="009E486A" w:rsidRDefault="0095321B" w:rsidP="00DE0128">
      <w:pPr>
        <w:pStyle w:val="NormalWeb"/>
        <w:shd w:val="clear" w:color="auto" w:fill="FFFFFF"/>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shd w:val="clear" w:color="auto" w:fill="FFFFFF"/>
        </w:rPr>
        <w:t xml:space="preserve">Le Code de la Démocratie Locale et de la Décentralisation et </w:t>
      </w:r>
      <w:r w:rsidR="00A6173C" w:rsidRPr="009E486A">
        <w:rPr>
          <w:rFonts w:asciiTheme="minorHAnsi" w:hAnsiTheme="minorHAnsi" w:cs="Arial"/>
          <w:color w:val="000000"/>
          <w:sz w:val="22"/>
          <w:szCs w:val="22"/>
        </w:rPr>
        <w:t>notamment l'article L1212-4 §2 al. 3.</w:t>
      </w:r>
    </w:p>
    <w:p w14:paraId="5D6C5A81" w14:textId="68C92748" w:rsidR="00A6173C" w:rsidRPr="009E486A" w:rsidRDefault="00A6173C" w:rsidP="00DE0128">
      <w:pPr>
        <w:tabs>
          <w:tab w:val="left" w:pos="2142"/>
        </w:tabs>
        <w:spacing w:before="119" w:after="120"/>
        <w:jc w:val="both"/>
        <w:rPr>
          <w:rFonts w:asciiTheme="minorHAnsi" w:hAnsiTheme="minorHAnsi" w:cs="Arial"/>
          <w:color w:val="000000"/>
          <w:sz w:val="22"/>
          <w:szCs w:val="22"/>
          <w:shd w:val="clear" w:color="auto" w:fill="FFFFFF"/>
        </w:rPr>
      </w:pPr>
      <w:r w:rsidRPr="009E486A">
        <w:rPr>
          <w:rFonts w:asciiTheme="minorHAnsi" w:hAnsiTheme="minorHAnsi" w:cs="Arial"/>
          <w:color w:val="000000"/>
          <w:sz w:val="22"/>
          <w:szCs w:val="22"/>
          <w:shd w:val="clear" w:color="auto" w:fill="FFFFFF"/>
        </w:rPr>
        <w:t>L</w:t>
      </w:r>
      <w:r w:rsidRPr="009E486A">
        <w:rPr>
          <w:rFonts w:asciiTheme="minorHAnsi" w:hAnsiTheme="minorHAnsi" w:cs="Arial"/>
          <w:color w:val="000000"/>
          <w:sz w:val="22"/>
          <w:szCs w:val="22"/>
        </w:rPr>
        <w:t>a loi du 3 juillet 1978 relative aux contrats de travail.</w:t>
      </w:r>
    </w:p>
    <w:p w14:paraId="7D708937" w14:textId="77777777" w:rsidR="0095321B" w:rsidRPr="009E486A" w:rsidRDefault="0095321B" w:rsidP="00DE0128">
      <w:pPr>
        <w:tabs>
          <w:tab w:val="left" w:pos="2142"/>
        </w:tabs>
        <w:spacing w:before="119" w:after="120"/>
        <w:jc w:val="both"/>
        <w:rPr>
          <w:rFonts w:asciiTheme="minorHAnsi" w:hAnsiTheme="minorHAnsi"/>
          <w:u w:val="single"/>
        </w:rPr>
      </w:pPr>
      <w:r w:rsidRPr="009E486A">
        <w:rPr>
          <w:rFonts w:asciiTheme="minorHAnsi" w:hAnsiTheme="minorHAnsi"/>
          <w:u w:val="single"/>
        </w:rPr>
        <w:t>Motivation :</w:t>
      </w:r>
    </w:p>
    <w:p w14:paraId="5D9F58BE" w14:textId="40402A70" w:rsidR="00A6173C" w:rsidRPr="009E486A" w:rsidRDefault="00A6173C" w:rsidP="00DE0128">
      <w:pPr>
        <w:tabs>
          <w:tab w:val="left" w:pos="2142"/>
        </w:tabs>
        <w:spacing w:before="119" w:after="120"/>
        <w:jc w:val="both"/>
        <w:rPr>
          <w:rFonts w:asciiTheme="minorHAnsi" w:hAnsiTheme="minorHAnsi"/>
        </w:rPr>
      </w:pPr>
      <w:r w:rsidRPr="009E486A">
        <w:rPr>
          <w:rFonts w:asciiTheme="minorHAnsi" w:hAnsiTheme="minorHAnsi"/>
        </w:rPr>
        <w:t>Prise de connaissance des délibérations suivantes :</w:t>
      </w:r>
    </w:p>
    <w:p w14:paraId="5806131C" w14:textId="6FABCC41" w:rsidR="00A6173C" w:rsidRPr="009E486A" w:rsidRDefault="00A6173C" w:rsidP="00DE0128">
      <w:pPr>
        <w:pStyle w:val="NormalWeb"/>
        <w:shd w:val="clear" w:color="auto" w:fill="FFFFFF"/>
        <w:spacing w:before="0" w:beforeAutospacing="0" w:after="120" w:afterAutospacing="0"/>
        <w:ind w:firstLine="834"/>
        <w:jc w:val="both"/>
        <w:rPr>
          <w:rFonts w:asciiTheme="minorHAnsi" w:hAnsiTheme="minorHAnsi" w:cs="Arial"/>
          <w:color w:val="000000"/>
          <w:sz w:val="22"/>
          <w:szCs w:val="22"/>
        </w:rPr>
      </w:pPr>
      <w:r w:rsidRPr="009E486A">
        <w:rPr>
          <w:rFonts w:asciiTheme="minorHAnsi" w:hAnsiTheme="minorHAnsi" w:cs="Arial"/>
          <w:color w:val="000000"/>
          <w:sz w:val="22"/>
          <w:szCs w:val="22"/>
        </w:rPr>
        <w:t>- la délibération du Collège communal en séance le 20 mai 2026 par laquelle il engage Madame Orane BESSAHA, dans les liens d'un contrat de remplacement, pour les services état civil et population, à partir du 26 mai 2026 jusqu'au retour de Monsieur Olivier DUMONCHAUX.</w:t>
      </w:r>
    </w:p>
    <w:p w14:paraId="3D4891F8" w14:textId="43D81379" w:rsidR="00A6173C" w:rsidRPr="009E486A" w:rsidRDefault="00A6173C" w:rsidP="00DE0128">
      <w:pPr>
        <w:pStyle w:val="NormalWeb"/>
        <w:shd w:val="clear" w:color="auto" w:fill="FFFFFF"/>
        <w:spacing w:before="0" w:beforeAutospacing="0" w:after="120" w:afterAutospacing="0"/>
        <w:ind w:firstLine="834"/>
        <w:jc w:val="both"/>
        <w:rPr>
          <w:rFonts w:asciiTheme="minorHAnsi" w:hAnsiTheme="minorHAnsi" w:cs="Arial"/>
          <w:color w:val="000000"/>
          <w:sz w:val="22"/>
          <w:szCs w:val="22"/>
        </w:rPr>
      </w:pPr>
      <w:r w:rsidRPr="009E486A">
        <w:rPr>
          <w:rFonts w:asciiTheme="minorHAnsi" w:hAnsiTheme="minorHAnsi" w:cs="Arial"/>
          <w:color w:val="000000"/>
          <w:sz w:val="22"/>
          <w:szCs w:val="22"/>
        </w:rPr>
        <w:t> - la délibération du Collège communal en séance le 28 mai 2026 par laquelle il prend acte de la démission de Monsieur Guy DUTERNE et de son admissibilité à la pension et approuve la convention de rupture du contrat d'un commun accord au 29 mai 2026.</w:t>
      </w:r>
    </w:p>
    <w:p w14:paraId="49AF08AB" w14:textId="39885463" w:rsidR="00A6173C" w:rsidRPr="009E486A" w:rsidRDefault="00D95DCF" w:rsidP="00DE0128">
      <w:pPr>
        <w:pStyle w:val="NormalWeb"/>
        <w:shd w:val="clear" w:color="auto" w:fill="FFFFFF"/>
        <w:tabs>
          <w:tab w:val="left" w:pos="851"/>
        </w:tabs>
        <w:spacing w:before="0" w:beforeAutospacing="0" w:after="120" w:afterAutospacing="0"/>
        <w:jc w:val="both"/>
        <w:rPr>
          <w:rFonts w:asciiTheme="minorHAnsi" w:hAnsiTheme="minorHAnsi" w:cs="Arial"/>
          <w:color w:val="000000"/>
          <w:sz w:val="22"/>
          <w:szCs w:val="22"/>
        </w:rPr>
      </w:pPr>
      <w:r w:rsidRPr="009E486A">
        <w:rPr>
          <w:rFonts w:asciiTheme="minorHAnsi" w:hAnsiTheme="minorHAnsi" w:cs="Arial"/>
          <w:color w:val="000000"/>
          <w:sz w:val="22"/>
          <w:szCs w:val="22"/>
        </w:rPr>
        <w:tab/>
        <w:t>- </w:t>
      </w:r>
      <w:r w:rsidR="00A6173C" w:rsidRPr="009E486A">
        <w:rPr>
          <w:rFonts w:asciiTheme="minorHAnsi" w:hAnsiTheme="minorHAnsi" w:cs="Arial"/>
          <w:color w:val="000000"/>
          <w:sz w:val="22"/>
          <w:szCs w:val="22"/>
        </w:rPr>
        <w:t>de la délibération du Collège communal en séance le 4 juin 2026 par laquelle il accorde à Madame Chantal PETIT une réduction de temps de travail pour raisons médicales, à partir du 8 juin 2026 jusqu'au 30 juin 2026, ramenant ses prestations complètes de 38 heures par semaine à 19 heures par semaine.</w:t>
      </w:r>
    </w:p>
    <w:p w14:paraId="04D404EE" w14:textId="77777777" w:rsidR="0095321B" w:rsidRPr="009E486A" w:rsidRDefault="0095321B" w:rsidP="00DE0128">
      <w:pPr>
        <w:tabs>
          <w:tab w:val="left" w:pos="2142"/>
        </w:tabs>
        <w:spacing w:before="119" w:after="120"/>
        <w:jc w:val="both"/>
        <w:rPr>
          <w:rFonts w:asciiTheme="minorHAnsi" w:hAnsiTheme="minorHAnsi"/>
          <w:b/>
          <w:bCs/>
          <w:lang w:val="fr-FR"/>
        </w:rPr>
      </w:pPr>
    </w:p>
    <w:sectPr w:rsidR="0095321B" w:rsidRPr="009E486A">
      <w:footerReference w:type="default" r:id="rId7"/>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A4A98" w14:textId="77777777" w:rsidR="00DB1BB5" w:rsidRDefault="00DB1BB5" w:rsidP="00DE0128">
      <w:r>
        <w:separator/>
      </w:r>
    </w:p>
  </w:endnote>
  <w:endnote w:type="continuationSeparator" w:id="0">
    <w:p w14:paraId="48780CA6" w14:textId="77777777" w:rsidR="00DB1BB5" w:rsidRDefault="00DB1BB5" w:rsidP="00DE0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708704"/>
      <w:docPartObj>
        <w:docPartGallery w:val="Page Numbers (Bottom of Page)"/>
        <w:docPartUnique/>
      </w:docPartObj>
    </w:sdtPr>
    <w:sdtContent>
      <w:p w14:paraId="1C863483" w14:textId="7161A760" w:rsidR="00DE0128" w:rsidRDefault="00DE0128">
        <w:pPr>
          <w:pStyle w:val="Pieddepage"/>
          <w:jc w:val="right"/>
        </w:pPr>
        <w:r>
          <w:fldChar w:fldCharType="begin"/>
        </w:r>
        <w:r>
          <w:instrText>PAGE   \* MERGEFORMAT</w:instrText>
        </w:r>
        <w:r>
          <w:fldChar w:fldCharType="separate"/>
        </w:r>
        <w:r>
          <w:rPr>
            <w:lang w:val="fr-FR"/>
          </w:rPr>
          <w:t>2</w:t>
        </w:r>
        <w:r>
          <w:fldChar w:fldCharType="end"/>
        </w:r>
      </w:p>
    </w:sdtContent>
  </w:sdt>
  <w:p w14:paraId="044FDB37" w14:textId="77777777" w:rsidR="00DE0128" w:rsidRDefault="00DE01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3A49E" w14:textId="77777777" w:rsidR="00DB1BB5" w:rsidRDefault="00DB1BB5" w:rsidP="00DE0128">
      <w:r>
        <w:separator/>
      </w:r>
    </w:p>
  </w:footnote>
  <w:footnote w:type="continuationSeparator" w:id="0">
    <w:p w14:paraId="66E69B64" w14:textId="77777777" w:rsidR="00DB1BB5" w:rsidRDefault="00DB1BB5" w:rsidP="00DE0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0397"/>
    <w:multiLevelType w:val="multilevel"/>
    <w:tmpl w:val="CBC6017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911136E"/>
    <w:multiLevelType w:val="hybridMultilevel"/>
    <w:tmpl w:val="41B057FE"/>
    <w:lvl w:ilvl="0" w:tplc="8CA05DF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AC07A6"/>
    <w:multiLevelType w:val="hybridMultilevel"/>
    <w:tmpl w:val="C3308C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8F0733C"/>
    <w:multiLevelType w:val="hybridMultilevel"/>
    <w:tmpl w:val="55C01C88"/>
    <w:lvl w:ilvl="0" w:tplc="6F6269E0">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5AF65F4B"/>
    <w:multiLevelType w:val="multilevel"/>
    <w:tmpl w:val="F8FA153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FC90004"/>
    <w:multiLevelType w:val="hybridMultilevel"/>
    <w:tmpl w:val="8F808C6E"/>
    <w:lvl w:ilvl="0" w:tplc="040C000F">
      <w:start w:val="1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C4B44B8"/>
    <w:multiLevelType w:val="hybridMultilevel"/>
    <w:tmpl w:val="F7169698"/>
    <w:lvl w:ilvl="0" w:tplc="7C3A29CC">
      <w:numFmt w:val="bullet"/>
      <w:lvlText w:val="-"/>
      <w:lvlJc w:val="left"/>
      <w:pPr>
        <w:ind w:left="1254" w:hanging="360"/>
      </w:pPr>
      <w:rPr>
        <w:rFonts w:ascii="Arial" w:eastAsia="Times New Roman" w:hAnsi="Arial" w:cs="Arial" w:hint="default"/>
      </w:rPr>
    </w:lvl>
    <w:lvl w:ilvl="1" w:tplc="040C0003" w:tentative="1">
      <w:start w:val="1"/>
      <w:numFmt w:val="bullet"/>
      <w:lvlText w:val="o"/>
      <w:lvlJc w:val="left"/>
      <w:pPr>
        <w:ind w:left="1974" w:hanging="360"/>
      </w:pPr>
      <w:rPr>
        <w:rFonts w:ascii="Courier New" w:hAnsi="Courier New" w:cs="Courier New" w:hint="default"/>
      </w:rPr>
    </w:lvl>
    <w:lvl w:ilvl="2" w:tplc="040C0005" w:tentative="1">
      <w:start w:val="1"/>
      <w:numFmt w:val="bullet"/>
      <w:lvlText w:val=""/>
      <w:lvlJc w:val="left"/>
      <w:pPr>
        <w:ind w:left="2694" w:hanging="360"/>
      </w:pPr>
      <w:rPr>
        <w:rFonts w:ascii="Wingdings" w:hAnsi="Wingdings" w:hint="default"/>
      </w:rPr>
    </w:lvl>
    <w:lvl w:ilvl="3" w:tplc="040C0001" w:tentative="1">
      <w:start w:val="1"/>
      <w:numFmt w:val="bullet"/>
      <w:lvlText w:val=""/>
      <w:lvlJc w:val="left"/>
      <w:pPr>
        <w:ind w:left="3414" w:hanging="360"/>
      </w:pPr>
      <w:rPr>
        <w:rFonts w:ascii="Symbol" w:hAnsi="Symbol" w:hint="default"/>
      </w:rPr>
    </w:lvl>
    <w:lvl w:ilvl="4" w:tplc="040C0003" w:tentative="1">
      <w:start w:val="1"/>
      <w:numFmt w:val="bullet"/>
      <w:lvlText w:val="o"/>
      <w:lvlJc w:val="left"/>
      <w:pPr>
        <w:ind w:left="4134" w:hanging="360"/>
      </w:pPr>
      <w:rPr>
        <w:rFonts w:ascii="Courier New" w:hAnsi="Courier New" w:cs="Courier New" w:hint="default"/>
      </w:rPr>
    </w:lvl>
    <w:lvl w:ilvl="5" w:tplc="040C0005" w:tentative="1">
      <w:start w:val="1"/>
      <w:numFmt w:val="bullet"/>
      <w:lvlText w:val=""/>
      <w:lvlJc w:val="left"/>
      <w:pPr>
        <w:ind w:left="4854" w:hanging="360"/>
      </w:pPr>
      <w:rPr>
        <w:rFonts w:ascii="Wingdings" w:hAnsi="Wingdings" w:hint="default"/>
      </w:rPr>
    </w:lvl>
    <w:lvl w:ilvl="6" w:tplc="040C0001" w:tentative="1">
      <w:start w:val="1"/>
      <w:numFmt w:val="bullet"/>
      <w:lvlText w:val=""/>
      <w:lvlJc w:val="left"/>
      <w:pPr>
        <w:ind w:left="5574" w:hanging="360"/>
      </w:pPr>
      <w:rPr>
        <w:rFonts w:ascii="Symbol" w:hAnsi="Symbol" w:hint="default"/>
      </w:rPr>
    </w:lvl>
    <w:lvl w:ilvl="7" w:tplc="040C0003" w:tentative="1">
      <w:start w:val="1"/>
      <w:numFmt w:val="bullet"/>
      <w:lvlText w:val="o"/>
      <w:lvlJc w:val="left"/>
      <w:pPr>
        <w:ind w:left="6294" w:hanging="360"/>
      </w:pPr>
      <w:rPr>
        <w:rFonts w:ascii="Courier New" w:hAnsi="Courier New" w:cs="Courier New" w:hint="default"/>
      </w:rPr>
    </w:lvl>
    <w:lvl w:ilvl="8" w:tplc="040C0005" w:tentative="1">
      <w:start w:val="1"/>
      <w:numFmt w:val="bullet"/>
      <w:lvlText w:val=""/>
      <w:lvlJc w:val="left"/>
      <w:pPr>
        <w:ind w:left="7014" w:hanging="360"/>
      </w:pPr>
      <w:rPr>
        <w:rFonts w:ascii="Wingdings" w:hAnsi="Wingdings" w:hint="default"/>
      </w:rPr>
    </w:lvl>
  </w:abstractNum>
  <w:abstractNum w:abstractNumId="7" w15:restartNumberingAfterBreak="0">
    <w:nsid w:val="7CCA27A9"/>
    <w:multiLevelType w:val="multilevel"/>
    <w:tmpl w:val="65EA18AA"/>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709601681">
    <w:abstractNumId w:val="7"/>
  </w:num>
  <w:num w:numId="2" w16cid:durableId="1413163600">
    <w:abstractNumId w:val="4"/>
  </w:num>
  <w:num w:numId="3" w16cid:durableId="1778522698">
    <w:abstractNumId w:val="0"/>
  </w:num>
  <w:num w:numId="4" w16cid:durableId="682587256">
    <w:abstractNumId w:val="2"/>
  </w:num>
  <w:num w:numId="5" w16cid:durableId="1446003317">
    <w:abstractNumId w:val="6"/>
  </w:num>
  <w:num w:numId="6" w16cid:durableId="1098449774">
    <w:abstractNumId w:val="1"/>
  </w:num>
  <w:num w:numId="7" w16cid:durableId="1091897686">
    <w:abstractNumId w:val="5"/>
  </w:num>
  <w:num w:numId="8" w16cid:durableId="122428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A0"/>
    <w:rsid w:val="000222D7"/>
    <w:rsid w:val="00090B6C"/>
    <w:rsid w:val="000D50E5"/>
    <w:rsid w:val="00291D28"/>
    <w:rsid w:val="002A04A6"/>
    <w:rsid w:val="00303A1D"/>
    <w:rsid w:val="00336846"/>
    <w:rsid w:val="003730F7"/>
    <w:rsid w:val="00381E58"/>
    <w:rsid w:val="00405911"/>
    <w:rsid w:val="00434B39"/>
    <w:rsid w:val="00504329"/>
    <w:rsid w:val="00514B26"/>
    <w:rsid w:val="00534849"/>
    <w:rsid w:val="005935BD"/>
    <w:rsid w:val="006178C2"/>
    <w:rsid w:val="007B782C"/>
    <w:rsid w:val="00826DC6"/>
    <w:rsid w:val="00832C11"/>
    <w:rsid w:val="00834810"/>
    <w:rsid w:val="00950EDA"/>
    <w:rsid w:val="0095321B"/>
    <w:rsid w:val="00961C2F"/>
    <w:rsid w:val="00973565"/>
    <w:rsid w:val="009E486A"/>
    <w:rsid w:val="00A02DEE"/>
    <w:rsid w:val="00A6173C"/>
    <w:rsid w:val="00AF5DA6"/>
    <w:rsid w:val="00B1699D"/>
    <w:rsid w:val="00B73D3C"/>
    <w:rsid w:val="00BC2E00"/>
    <w:rsid w:val="00BD187A"/>
    <w:rsid w:val="00D95DCF"/>
    <w:rsid w:val="00DB1BB5"/>
    <w:rsid w:val="00DE0128"/>
    <w:rsid w:val="00E33FA9"/>
    <w:rsid w:val="00E354A0"/>
    <w:rsid w:val="00E64E33"/>
    <w:rsid w:val="00EA4132"/>
    <w:rsid w:val="00ED39D3"/>
    <w:rsid w:val="00F22958"/>
    <w:rsid w:val="00F978DA"/>
    <w:rsid w:val="00F97B43"/>
    <w:rsid w:val="00FC6861"/>
    <w:rsid w:val="00FC72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891D"/>
  <w15:docId w15:val="{BAE961B7-F6FD-4E96-9C88-26295B78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381E58"/>
    <w:pPr>
      <w:ind w:left="720"/>
      <w:contextualSpacing/>
    </w:pPr>
    <w:rPr>
      <w:rFonts w:cs="Mangal"/>
      <w:szCs w:val="21"/>
    </w:rPr>
  </w:style>
  <w:style w:type="paragraph" w:styleId="NormalWeb">
    <w:name w:val="Normal (Web)"/>
    <w:basedOn w:val="Normal"/>
    <w:uiPriority w:val="99"/>
    <w:unhideWhenUsed/>
    <w:rsid w:val="00434B39"/>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6178C2"/>
    <w:rPr>
      <w:b/>
      <w:bCs/>
    </w:rPr>
  </w:style>
  <w:style w:type="character" w:styleId="Accentuation">
    <w:name w:val="Emphasis"/>
    <w:basedOn w:val="Policepardfaut"/>
    <w:uiPriority w:val="20"/>
    <w:qFormat/>
    <w:rsid w:val="006178C2"/>
    <w:rPr>
      <w:i/>
      <w:iCs/>
    </w:rPr>
  </w:style>
  <w:style w:type="paragraph" w:styleId="En-tte">
    <w:name w:val="header"/>
    <w:basedOn w:val="Normal"/>
    <w:link w:val="En-tteCar"/>
    <w:uiPriority w:val="99"/>
    <w:unhideWhenUsed/>
    <w:rsid w:val="00DE0128"/>
    <w:pPr>
      <w:tabs>
        <w:tab w:val="center" w:pos="4513"/>
        <w:tab w:val="right" w:pos="9026"/>
      </w:tabs>
    </w:pPr>
    <w:rPr>
      <w:rFonts w:cs="Mangal"/>
      <w:szCs w:val="21"/>
    </w:rPr>
  </w:style>
  <w:style w:type="character" w:customStyle="1" w:styleId="En-tteCar">
    <w:name w:val="En-tête Car"/>
    <w:basedOn w:val="Policepardfaut"/>
    <w:link w:val="En-tte"/>
    <w:uiPriority w:val="99"/>
    <w:rsid w:val="00DE0128"/>
    <w:rPr>
      <w:rFonts w:cs="Mangal"/>
      <w:szCs w:val="21"/>
    </w:rPr>
  </w:style>
  <w:style w:type="paragraph" w:styleId="Pieddepage">
    <w:name w:val="footer"/>
    <w:basedOn w:val="Normal"/>
    <w:link w:val="PieddepageCar"/>
    <w:uiPriority w:val="99"/>
    <w:unhideWhenUsed/>
    <w:rsid w:val="00DE0128"/>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DE0128"/>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10</Pages>
  <Words>3384</Words>
  <Characters>18613</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tmpaIlflm</vt:lpstr>
    </vt:vector>
  </TitlesOfParts>
  <Company/>
  <LinksUpToDate>false</LinksUpToDate>
  <CharactersWithSpaces>21954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tmpaIlflm</dc:title>
  <dc:subject/>
  <dc:creator>André NUYENS</dc:creator>
  <dc:description/>
  <cp:lastModifiedBy>isabelle roze</cp:lastModifiedBy>
  <cp:revision>4</cp:revision>
  <cp:lastPrinted>2026-06-22T14:47:00Z</cp:lastPrinted>
  <dcterms:created xsi:type="dcterms:W3CDTF">2026-06-22T14:23:00Z</dcterms:created>
  <dcterms:modified xsi:type="dcterms:W3CDTF">2026-06-22T16:14:00Z</dcterms:modified>
  <dc:language>en-US</dc:language>
</cp:coreProperties>
</file>